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322E05">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70157CDF">
      <w:pPr>
        <w:keepNext/>
        <w:keepLines/>
        <w:spacing w:before="260" w:after="260" w:line="416" w:lineRule="atLeast"/>
        <w:jc w:val="center"/>
        <w:outlineLvl w:val="1"/>
        <w:rPr>
          <w:rFonts w:hint="eastAsia" w:ascii="Times New Roman" w:hAnsi="Times New Roman"/>
          <w:b/>
          <w:bCs/>
          <w:sz w:val="28"/>
          <w:szCs w:val="28"/>
        </w:rPr>
      </w:pPr>
    </w:p>
    <w:p w14:paraId="6052A6F2">
      <w:pPr>
        <w:keepNext w:val="0"/>
        <w:keepLines w:val="0"/>
        <w:pageBreakBefore w:val="0"/>
        <w:widowControl w:val="0"/>
        <w:kinsoku/>
        <w:wordWrap/>
        <w:overflowPunct/>
        <w:topLinePunct w:val="0"/>
        <w:autoSpaceDE/>
        <w:autoSpaceDN/>
        <w:bidi w:val="0"/>
        <w:adjustRightInd/>
        <w:snapToGrid/>
        <w:spacing w:line="1440" w:lineRule="exact"/>
        <w:jc w:val="distribute"/>
        <w:textAlignment w:val="auto"/>
        <w:rPr>
          <w:rFonts w:hint="eastAsia" w:ascii="Times New Roman" w:hAnsi="Times New Roman"/>
          <w:b/>
          <w:bCs/>
          <w:sz w:val="30"/>
          <w:szCs w:val="30"/>
          <w:lang w:val="en-US" w:eastAsia="zh-CN"/>
        </w:rPr>
      </w:pPr>
      <w:r>
        <w:rPr>
          <w:rFonts w:hint="eastAsia" w:ascii="思源宋体 CN Heavy" w:hAnsi="思源宋体 CN Heavy" w:eastAsia="思源宋体 CN Heavy" w:cs="思源宋体 CN Heavy"/>
          <w:b/>
          <w:bCs/>
          <w:snapToGrid w:val="0"/>
          <w:color w:val="6C69DC"/>
          <w:kern w:val="0"/>
          <w:sz w:val="100"/>
          <w:szCs w:val="100"/>
          <w:lang w:val="en-US" w:eastAsia="zh-CN"/>
          <w14:shadow w14:blurRad="50800" w14:dist="38100" w14:dir="2700000" w14:sx="100000" w14:sy="100000" w14:kx="0" w14:ky="0" w14:algn="tl">
            <w14:srgbClr w14:val="000000">
              <w14:alpha w14:val="90000"/>
            </w14:srgbClr>
          </w14:shadow>
        </w:rPr>
        <w:t xml:space="preserve">  </w:t>
      </w:r>
      <w:r>
        <w:rPr>
          <w:rFonts w:hint="eastAsia" w:ascii="思源宋体 CN Heavy" w:hAnsi="思源宋体 CN Heavy" w:eastAsia="思源宋体 CN Heavy" w:cs="思源宋体 CN Heavy"/>
          <w:b/>
          <w:bCs/>
          <w:snapToGrid w:val="0"/>
          <w:color w:val="6C69DC"/>
          <w:kern w:val="0"/>
          <w:sz w:val="100"/>
          <w:szCs w:val="100"/>
          <w14:shadow w14:blurRad="50800" w14:dist="38100" w14:dir="2700000" w14:sx="100000" w14:sy="100000" w14:kx="0" w14:ky="0" w14:algn="tl">
            <w14:srgbClr w14:val="000000">
              <w14:alpha w14:val="90000"/>
            </w14:srgbClr>
          </w14:shadow>
        </w:rPr>
        <w:t>《</w:t>
      </w:r>
      <w:r>
        <w:rPr>
          <w:rFonts w:hint="eastAsia" w:ascii="思源宋体 CN Heavy" w:hAnsi="思源宋体 CN Heavy" w:eastAsia="思源宋体 CN Heavy" w:cs="思源宋体 CN Heavy"/>
          <w:b/>
          <w:bCs/>
          <w:snapToGrid w:val="0"/>
          <w:color w:val="6C69DC"/>
          <w:kern w:val="0"/>
          <w:sz w:val="100"/>
          <w:szCs w:val="100"/>
          <w:lang w:val="en-US" w:eastAsia="zh-CN"/>
          <w14:shadow w14:blurRad="50800" w14:dist="38100" w14:dir="2700000" w14:sx="100000" w14:sy="100000" w14:kx="0" w14:ky="0" w14:algn="tl">
            <w14:srgbClr w14:val="000000">
              <w14:alpha w14:val="90000"/>
            </w14:srgbClr>
          </w14:shadow>
        </w:rPr>
        <w:t>老年人解剖与生理</w:t>
      </w:r>
      <w:r>
        <w:rPr>
          <w:rFonts w:hint="eastAsia" w:ascii="思源宋体 CN Heavy" w:hAnsi="思源宋体 CN Heavy" w:eastAsia="思源宋体 CN Heavy" w:cs="思源宋体 CN Heavy"/>
          <w:b/>
          <w:bCs/>
          <w:snapToGrid w:val="0"/>
          <w:color w:val="6C69DC"/>
          <w:kern w:val="0"/>
          <w:sz w:val="100"/>
          <w:szCs w:val="100"/>
          <w14:shadow w14:blurRad="50800" w14:dist="38100" w14:dir="2700000" w14:sx="100000" w14:sy="100000" w14:kx="0" w14:ky="0" w14:algn="tl">
            <w14:srgbClr w14:val="000000">
              <w14:alpha w14:val="90000"/>
            </w14:srgbClr>
          </w14:shadow>
        </w:rPr>
        <w:t>》</w:t>
      </w:r>
    </w:p>
    <w:p w14:paraId="61612B2D">
      <w:pPr>
        <w:keepNext/>
        <w:keepLines/>
        <w:spacing w:before="260" w:after="260" w:line="240" w:lineRule="auto"/>
        <w:jc w:val="center"/>
        <w:outlineLvl w:val="1"/>
        <w:rPr>
          <w:rFonts w:hint="default" w:ascii="Times New Roman" w:hAnsi="Times New Roman" w:eastAsia="宋体"/>
          <w:b/>
          <w:bCs/>
          <w:sz w:val="21"/>
          <w:szCs w:val="21"/>
          <w:lang w:val="en-US" w:eastAsia="zh-CN"/>
        </w:rPr>
      </w:pPr>
    </w:p>
    <w:p w14:paraId="1E6FE964">
      <w:pPr>
        <w:keepNext/>
        <w:keepLines/>
        <w:spacing w:before="260" w:after="260" w:line="240" w:lineRule="auto"/>
        <w:jc w:val="center"/>
        <w:outlineLvl w:val="1"/>
        <w:rPr>
          <w:rFonts w:hint="eastAsia" w:ascii="Times New Roman" w:hAnsi="Times New Roman"/>
          <w:b/>
          <w:bCs/>
          <w:sz w:val="21"/>
          <w:szCs w:val="21"/>
        </w:rPr>
      </w:pPr>
    </w:p>
    <w:p w14:paraId="507B974C">
      <w:pPr>
        <w:keepNext/>
        <w:keepLines/>
        <w:spacing w:before="260" w:after="260" w:line="240" w:lineRule="auto"/>
        <w:jc w:val="center"/>
        <w:outlineLvl w:val="1"/>
        <w:rPr>
          <w:rFonts w:hint="eastAsia" w:ascii="Times New Roman" w:hAnsi="Times New Roman"/>
          <w:b/>
          <w:bCs/>
          <w:sz w:val="21"/>
          <w:szCs w:val="21"/>
        </w:rPr>
      </w:pPr>
    </w:p>
    <w:p w14:paraId="472A652F">
      <w:pPr>
        <w:keepNext/>
        <w:keepLines/>
        <w:spacing w:before="260" w:after="260" w:line="240" w:lineRule="auto"/>
        <w:jc w:val="center"/>
        <w:outlineLvl w:val="1"/>
        <w:rPr>
          <w:rFonts w:hint="eastAsia" w:ascii="Times New Roman" w:hAnsi="Times New Roman"/>
          <w:b/>
          <w:bCs/>
          <w:sz w:val="21"/>
          <w:szCs w:val="21"/>
        </w:rPr>
      </w:pPr>
    </w:p>
    <w:p w14:paraId="6EB25825">
      <w:pPr>
        <w:keepNext/>
        <w:keepLines/>
        <w:spacing w:before="260" w:after="260" w:line="240" w:lineRule="auto"/>
        <w:jc w:val="center"/>
        <w:outlineLvl w:val="1"/>
        <w:rPr>
          <w:rFonts w:hint="eastAsia" w:ascii="Times New Roman" w:hAnsi="Times New Roman"/>
          <w:b/>
          <w:bCs/>
          <w:sz w:val="21"/>
          <w:szCs w:val="21"/>
        </w:rPr>
      </w:pPr>
    </w:p>
    <w:p w14:paraId="71ACCED5">
      <w:pPr>
        <w:keepNext/>
        <w:keepLines/>
        <w:spacing w:before="260" w:after="260" w:line="240" w:lineRule="auto"/>
        <w:jc w:val="center"/>
        <w:outlineLvl w:val="1"/>
        <w:rPr>
          <w:rFonts w:hint="eastAsia" w:ascii="Times New Roman" w:hAnsi="Times New Roman"/>
          <w:b/>
          <w:bCs/>
          <w:sz w:val="21"/>
          <w:szCs w:val="21"/>
        </w:rPr>
      </w:pPr>
    </w:p>
    <w:p w14:paraId="77AB5D0C">
      <w:pPr>
        <w:keepNext/>
        <w:keepLines/>
        <w:spacing w:before="260" w:after="260" w:line="240" w:lineRule="auto"/>
        <w:jc w:val="center"/>
        <w:outlineLvl w:val="1"/>
        <w:rPr>
          <w:rFonts w:hint="eastAsia" w:ascii="Times New Roman" w:hAnsi="Times New Roman"/>
          <w:b/>
          <w:bCs/>
          <w:sz w:val="21"/>
          <w:szCs w:val="21"/>
        </w:rPr>
      </w:pPr>
    </w:p>
    <w:p w14:paraId="2014E890">
      <w:pPr>
        <w:keepNext/>
        <w:keepLines/>
        <w:spacing w:before="260" w:after="260" w:line="240" w:lineRule="auto"/>
        <w:jc w:val="center"/>
        <w:outlineLvl w:val="1"/>
        <w:rPr>
          <w:rFonts w:hint="eastAsia" w:ascii="Times New Roman" w:hAnsi="Times New Roman"/>
          <w:b/>
          <w:bCs/>
          <w:sz w:val="21"/>
          <w:szCs w:val="21"/>
        </w:rPr>
      </w:pPr>
    </w:p>
    <w:p w14:paraId="2AAEB82A">
      <w:pPr>
        <w:keepNext/>
        <w:keepLines/>
        <w:spacing w:before="260" w:after="260" w:line="240" w:lineRule="auto"/>
        <w:jc w:val="center"/>
        <w:outlineLvl w:val="1"/>
        <w:rPr>
          <w:rFonts w:hint="eastAsia" w:ascii="Times New Roman" w:hAnsi="Times New Roman"/>
          <w:b/>
          <w:bCs/>
          <w:sz w:val="21"/>
          <w:szCs w:val="21"/>
        </w:rPr>
      </w:pPr>
    </w:p>
    <w:p w14:paraId="1A798798">
      <w:pPr>
        <w:keepNext/>
        <w:keepLines/>
        <w:spacing w:before="260" w:after="260" w:line="240" w:lineRule="auto"/>
        <w:jc w:val="center"/>
        <w:outlineLvl w:val="1"/>
        <w:rPr>
          <w:rFonts w:hint="eastAsia" w:ascii="Times New Roman" w:hAnsi="Times New Roman"/>
          <w:b/>
          <w:bCs/>
          <w:sz w:val="21"/>
          <w:szCs w:val="21"/>
        </w:rPr>
      </w:pPr>
    </w:p>
    <w:p w14:paraId="5876465C">
      <w:pPr>
        <w:keepNext/>
        <w:keepLines/>
        <w:spacing w:before="260" w:after="260" w:line="240" w:lineRule="auto"/>
        <w:jc w:val="center"/>
        <w:outlineLvl w:val="1"/>
        <w:rPr>
          <w:rFonts w:hint="eastAsia" w:ascii="Times New Roman" w:hAnsi="Times New Roman"/>
          <w:b/>
          <w:bCs/>
          <w:sz w:val="21"/>
          <w:szCs w:val="21"/>
        </w:rPr>
      </w:pPr>
    </w:p>
    <w:p w14:paraId="6B5EDE49">
      <w:pPr>
        <w:keepNext/>
        <w:keepLines/>
        <w:spacing w:before="260" w:after="260" w:line="240" w:lineRule="auto"/>
        <w:jc w:val="center"/>
        <w:outlineLvl w:val="1"/>
        <w:rPr>
          <w:rFonts w:hint="eastAsia" w:ascii="Times New Roman" w:hAnsi="Times New Roman"/>
          <w:b/>
          <w:bCs/>
          <w:sz w:val="28"/>
          <w:szCs w:val="28"/>
        </w:rPr>
      </w:pPr>
    </w:p>
    <w:p w14:paraId="5A727CD1">
      <w:pPr>
        <w:keepNext/>
        <w:keepLines/>
        <w:spacing w:before="260" w:after="260" w:line="240" w:lineRule="auto"/>
        <w:jc w:val="center"/>
        <w:outlineLvl w:val="1"/>
        <w:rPr>
          <w:rFonts w:hint="eastAsia" w:ascii="Times New Roman" w:hAnsi="Times New Roman"/>
          <w:b/>
          <w:bCs/>
          <w:sz w:val="28"/>
          <w:szCs w:val="28"/>
        </w:rPr>
      </w:pPr>
    </w:p>
    <w:p w14:paraId="31271A49">
      <w:pPr>
        <w:keepNext/>
        <w:keepLines/>
        <w:spacing w:before="260" w:after="260" w:line="240" w:lineRule="auto"/>
        <w:jc w:val="center"/>
        <w:outlineLvl w:val="1"/>
        <w:rPr>
          <w:rFonts w:hint="eastAsia" w:ascii="Times New Roman" w:hAnsi="Times New Roman"/>
          <w:b/>
          <w:bCs/>
          <w:sz w:val="28"/>
          <w:szCs w:val="28"/>
        </w:rPr>
      </w:pPr>
    </w:p>
    <w:p w14:paraId="7916F5C1">
      <w:pPr>
        <w:keepNext/>
        <w:keepLines/>
        <w:spacing w:before="260" w:after="260" w:line="240" w:lineRule="auto"/>
        <w:jc w:val="center"/>
        <w:outlineLvl w:val="1"/>
        <w:rPr>
          <w:rFonts w:hint="eastAsia" w:ascii="Times New Roman" w:hAnsi="Times New Roman"/>
          <w:b/>
          <w:bCs/>
          <w:sz w:val="28"/>
          <w:szCs w:val="28"/>
        </w:rPr>
      </w:pPr>
    </w:p>
    <w:p w14:paraId="565C76F6">
      <w:pPr>
        <w:keepNext/>
        <w:keepLines/>
        <w:spacing w:before="260" w:after="260" w:line="240" w:lineRule="auto"/>
        <w:jc w:val="center"/>
        <w:outlineLvl w:val="1"/>
        <w:rPr>
          <w:rFonts w:hint="default" w:ascii="Times New Roman" w:hAnsi="Times New Roman" w:eastAsia="宋体"/>
          <w:b/>
          <w:bCs/>
          <w:sz w:val="28"/>
          <w:szCs w:val="28"/>
          <w:lang w:val="en-US" w:eastAsia="zh-CN"/>
        </w:rPr>
      </w:pPr>
      <w:r>
        <w:rPr>
          <w:rFonts w:hint="eastAsia" w:ascii="Times New Roman" w:hAnsi="Times New Roman"/>
          <w:b/>
          <w:bCs/>
          <w:sz w:val="28"/>
          <w:szCs w:val="28"/>
          <w:lang w:val="en-US" w:eastAsia="zh-CN"/>
        </w:rPr>
        <w:t>北京出版社</w:t>
      </w:r>
    </w:p>
    <w:p w14:paraId="2D233460">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3E723B7A">
      <w:pPr>
        <w:keepNext/>
        <w:keepLines/>
        <w:spacing w:before="260" w:after="260" w:line="416" w:lineRule="atLeast"/>
        <w:jc w:val="center"/>
        <w:outlineLvl w:val="1"/>
        <w:rPr>
          <w:rFonts w:hint="default" w:ascii="Times New Roman" w:hAnsi="Times New Roman" w:eastAsia="宋体"/>
          <w:b/>
          <w:bCs/>
          <w:color w:val="7030A0"/>
          <w:sz w:val="28"/>
          <w:szCs w:val="28"/>
          <w:lang w:val="en-US" w:eastAsia="zh-CN"/>
        </w:rPr>
      </w:pPr>
      <w:r>
        <w:rPr>
          <w:rFonts w:hint="eastAsia" w:ascii="微软简老宋" w:hAnsi="微软简老宋" w:eastAsia="微软简老宋" w:cs="微软简老宋"/>
          <w:b w:val="0"/>
          <w:bCs w:val="0"/>
          <w:color w:val="7030A0"/>
          <w:sz w:val="32"/>
          <w:szCs w:val="32"/>
        </w:rPr>
        <w:t>第</w:t>
      </w:r>
      <w:r>
        <w:rPr>
          <w:rFonts w:hint="eastAsia" w:ascii="微软简老宋" w:hAnsi="微软简老宋" w:eastAsia="微软简老宋" w:cs="微软简老宋"/>
          <w:b w:val="0"/>
          <w:bCs w:val="0"/>
          <w:color w:val="7030A0"/>
          <w:sz w:val="32"/>
          <w:szCs w:val="32"/>
          <w:lang w:val="en-US" w:eastAsia="zh-CN"/>
        </w:rPr>
        <w:t>12</w:t>
      </w:r>
      <w:r>
        <w:rPr>
          <w:rFonts w:hint="eastAsia" w:ascii="微软简老宋" w:hAnsi="微软简老宋" w:eastAsia="微软简老宋" w:cs="微软简老宋"/>
          <w:b w:val="0"/>
          <w:bCs w:val="0"/>
          <w:color w:val="7030A0"/>
          <w:sz w:val="32"/>
          <w:szCs w:val="32"/>
        </w:rPr>
        <w:t>课</w:t>
      </w:r>
      <w:r>
        <w:rPr>
          <w:rFonts w:hint="eastAsia" w:ascii="微软简老宋" w:hAnsi="微软简老宋" w:eastAsia="微软简老宋" w:cs="微软简老宋"/>
          <w:b w:val="0"/>
          <w:bCs w:val="0"/>
          <w:color w:val="7030A0"/>
          <w:sz w:val="32"/>
          <w:szCs w:val="32"/>
          <w:lang w:val="en-US" w:eastAsia="zh-CN"/>
        </w:rPr>
        <w:t xml:space="preserve">  生殖系统</w:t>
      </w:r>
    </w:p>
    <w:tbl>
      <w:tblPr>
        <w:tblStyle w:val="11"/>
        <w:tblW w:w="10488" w:type="dxa"/>
        <w:jc w:val="center"/>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Layout w:type="fixed"/>
        <w:tblCellMar>
          <w:top w:w="0" w:type="dxa"/>
          <w:left w:w="108" w:type="dxa"/>
          <w:bottom w:w="0" w:type="dxa"/>
          <w:right w:w="108" w:type="dxa"/>
        </w:tblCellMar>
      </w:tblPr>
      <w:tblGrid>
        <w:gridCol w:w="1584"/>
        <w:gridCol w:w="7208"/>
        <w:gridCol w:w="1696"/>
      </w:tblGrid>
      <w:tr w14:paraId="012BC2BE">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0ADBC748">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w:t>
            </w:r>
            <w:r>
              <w:rPr>
                <w:rFonts w:hint="eastAsia" w:ascii="Times New Roman" w:hAnsi="Times New Roman"/>
                <w:b/>
                <w:sz w:val="24"/>
                <w:szCs w:val="24"/>
              </w:rPr>
              <w:t>题</w:t>
            </w:r>
          </w:p>
        </w:tc>
        <w:tc>
          <w:tcPr>
            <w:tcW w:w="8904" w:type="dxa"/>
            <w:gridSpan w:val="2"/>
            <w:tcBorders>
              <w:tl2br w:val="nil"/>
              <w:tr2bl w:val="nil"/>
            </w:tcBorders>
            <w:vAlign w:val="center"/>
          </w:tcPr>
          <w:p w14:paraId="53BBE292">
            <w:pPr>
              <w:keepNext w:val="0"/>
              <w:keepLines w:val="0"/>
              <w:suppressLineNumbers w:val="0"/>
              <w:spacing w:before="0" w:beforeAutospacing="0" w:after="0" w:afterAutospacing="0" w:line="360" w:lineRule="auto"/>
              <w:ind w:left="0" w:right="0" w:hanging="8"/>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生殖系统</w:t>
            </w:r>
          </w:p>
        </w:tc>
      </w:tr>
      <w:tr w14:paraId="28DCB65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8B24E66">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课时</w:t>
            </w:r>
          </w:p>
        </w:tc>
        <w:tc>
          <w:tcPr>
            <w:tcW w:w="8904" w:type="dxa"/>
            <w:gridSpan w:val="2"/>
            <w:tcBorders>
              <w:tl2br w:val="nil"/>
              <w:tr2bl w:val="nil"/>
            </w:tcBorders>
            <w:vAlign w:val="center"/>
          </w:tcPr>
          <w:p w14:paraId="74C750A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4</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180</w:t>
            </w:r>
            <w:r>
              <w:rPr>
                <w:rFonts w:hint="eastAsia" w:ascii="Times New Roman" w:hAnsi="宋体"/>
                <w:sz w:val="24"/>
                <w:szCs w:val="24"/>
              </w:rPr>
              <w:t>min）。</w:t>
            </w:r>
          </w:p>
        </w:tc>
      </w:tr>
      <w:tr w14:paraId="6C0A028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36EC94DB">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教学目标</w:t>
            </w:r>
          </w:p>
        </w:tc>
        <w:tc>
          <w:tcPr>
            <w:tcW w:w="8904" w:type="dxa"/>
            <w:gridSpan w:val="2"/>
            <w:tcBorders>
              <w:tl2br w:val="nil"/>
              <w:tr2bl w:val="nil"/>
            </w:tcBorders>
            <w:vAlign w:val="center"/>
          </w:tcPr>
          <w:p w14:paraId="2A8503CB">
            <w:pPr>
              <w:keepNext w:val="0"/>
              <w:keepLines w:val="0"/>
              <w:suppressLineNumbers w:val="0"/>
              <w:spacing w:before="0" w:beforeAutospacing="0" w:after="0" w:afterAutospacing="0" w:line="360" w:lineRule="auto"/>
              <w:ind w:left="0" w:right="0" w:hanging="8"/>
              <w:rPr>
                <w:rFonts w:hint="default"/>
                <w:b/>
                <w:color w:val="7030A0"/>
                <w:sz w:val="24"/>
                <w:szCs w:val="24"/>
              </w:rPr>
            </w:pPr>
            <w:r>
              <w:rPr>
                <w:rFonts w:hint="default" w:hAnsi="宋体"/>
                <w:b/>
                <w:color w:val="7030A0"/>
                <w:sz w:val="24"/>
                <w:szCs w:val="24"/>
              </w:rPr>
              <w:t>知识</w:t>
            </w:r>
            <w:r>
              <w:rPr>
                <w:rFonts w:hint="eastAsia" w:hAnsi="宋体"/>
                <w:b/>
                <w:color w:val="7030A0"/>
                <w:sz w:val="24"/>
                <w:szCs w:val="24"/>
              </w:rPr>
              <w:t>技能</w:t>
            </w:r>
            <w:r>
              <w:rPr>
                <w:rFonts w:hint="default" w:hAnsi="宋体"/>
                <w:b/>
                <w:color w:val="7030A0"/>
                <w:sz w:val="24"/>
                <w:szCs w:val="24"/>
              </w:rPr>
              <w:t>目标：</w:t>
            </w:r>
          </w:p>
          <w:p w14:paraId="1A91986F">
            <w:pPr>
              <w:keepNext w:val="0"/>
              <w:keepLines w:val="0"/>
              <w:suppressLineNumbers w:val="0"/>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eastAsia" w:ascii="Times New Roman" w:hAnsi="Times New Roman" w:eastAsia="宋体" w:cs="Times New Roman"/>
                <w:szCs w:val="21"/>
                <w:lang w:val="en-US" w:eastAsia="zh-CN"/>
              </w:rPr>
              <w:t>1.</w:t>
            </w:r>
            <w:r>
              <w:rPr>
                <w:rFonts w:hint="default" w:ascii="Times New Roman" w:hAnsi="Times New Roman" w:eastAsia="宋体" w:cs="Times New Roman"/>
                <w:szCs w:val="21"/>
              </w:rPr>
              <w:t>掌握男性生殖系统和女性生殖系统的组成和功能；睾丸和卵巢的位置；老年男性尿道的分布、弯曲、狭窄对应的临床意义；受精及结扎部位。老年卵巢和睾丸的生理功能；</w:t>
            </w:r>
            <w:r>
              <w:rPr>
                <w:rFonts w:hint="default" w:ascii="Times New Roman" w:hAnsi="Times New Roman" w:eastAsia="宋体" w:cs="Times New Roman"/>
                <w:color w:val="1F1F1F"/>
                <w:szCs w:val="21"/>
                <w:shd w:val="clear" w:color="auto" w:fill="FFFFFF"/>
              </w:rPr>
              <w:t>月经周期的分期及各期特点。</w:t>
            </w:r>
          </w:p>
          <w:p w14:paraId="3B5AFA38">
            <w:pPr>
              <w:keepNext w:val="0"/>
              <w:keepLines w:val="0"/>
              <w:suppressLineNumbers w:val="0"/>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2.熟悉子宫的位置、形态及结构特点；输卵管的位置、分部；前列腺的位置和主要毗邻及老年后结构的变化。</w:t>
            </w:r>
            <w:r>
              <w:rPr>
                <w:rFonts w:hint="default" w:ascii="Times New Roman" w:hAnsi="Times New Roman" w:eastAsia="宋体" w:cs="Times New Roman"/>
                <w:color w:val="1F1F1F"/>
                <w:szCs w:val="21"/>
                <w:shd w:val="clear" w:color="auto" w:fill="FFFFFF"/>
              </w:rPr>
              <w:t>雄激素、雌激素、孕激素的生理作用。</w:t>
            </w:r>
          </w:p>
          <w:p w14:paraId="5946F970">
            <w:pPr>
              <w:keepNext w:val="0"/>
              <w:keepLines w:val="0"/>
              <w:suppressLineNumbers w:val="0"/>
              <w:spacing w:before="0" w:beforeAutospacing="0" w:after="0" w:afterAutospacing="0" w:line="360" w:lineRule="auto"/>
              <w:ind w:left="0" w:right="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3.了解男性生殖系统和女性生殖系的外生殖器组成；阴道口和尿道口的位置关系；乳房的位置及构造。女阴的组成。</w:t>
            </w:r>
          </w:p>
          <w:p w14:paraId="299D0497">
            <w:pPr>
              <w:keepNext w:val="0"/>
              <w:keepLines w:val="0"/>
              <w:suppressLineNumbers w:val="0"/>
              <w:spacing w:before="0" w:beforeAutospacing="0" w:after="0" w:afterAutospacing="0" w:line="360" w:lineRule="auto"/>
              <w:ind w:left="0" w:right="0" w:hanging="8"/>
              <w:rPr>
                <w:rFonts w:hint="default" w:ascii="Times New Roman" w:hAnsi="Times New Roman"/>
                <w:b/>
                <w:color w:val="7030A0"/>
                <w:sz w:val="24"/>
                <w:szCs w:val="24"/>
              </w:rPr>
            </w:pPr>
            <w:r>
              <w:rPr>
                <w:rFonts w:hint="default" w:ascii="Times New Roman" w:hAnsi="Times New Roman"/>
                <w:b/>
                <w:color w:val="7030A0"/>
                <w:sz w:val="24"/>
                <w:szCs w:val="24"/>
              </w:rPr>
              <w:t>思政育人目标</w:t>
            </w:r>
            <w:r>
              <w:rPr>
                <w:rFonts w:hint="eastAsia" w:ascii="Times New Roman" w:hAnsi="Times New Roman"/>
                <w:b/>
                <w:color w:val="7030A0"/>
                <w:sz w:val="24"/>
                <w:szCs w:val="24"/>
              </w:rPr>
              <w:t>：</w:t>
            </w:r>
          </w:p>
          <w:p w14:paraId="06B33C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default" w:ascii="Times New Roman" w:hAnsi="Times New Roman"/>
                <w:sz w:val="24"/>
                <w:szCs w:val="24"/>
              </w:rPr>
            </w:pPr>
            <w:r>
              <w:rPr>
                <w:rFonts w:hint="eastAsia" w:ascii="Times New Roman" w:hAnsi="宋体"/>
                <w:bCs/>
                <w:sz w:val="24"/>
                <w:szCs w:val="24"/>
              </w:rPr>
              <w:t>让学生通过</w:t>
            </w:r>
            <w:r>
              <w:rPr>
                <w:rFonts w:hint="eastAsia" w:ascii="Times New Roman" w:hAnsi="宋体"/>
                <w:bCs/>
                <w:sz w:val="24"/>
                <w:szCs w:val="24"/>
                <w:lang w:val="en-US" w:eastAsia="zh-CN"/>
              </w:rPr>
              <w:t>生殖系统学习</w:t>
            </w:r>
            <w:r>
              <w:rPr>
                <w:rFonts w:hint="eastAsia" w:ascii="Times New Roman" w:hAnsi="宋体"/>
                <w:bCs/>
                <w:sz w:val="24"/>
                <w:szCs w:val="24"/>
              </w:rPr>
              <w:t>，明白</w:t>
            </w:r>
            <w:r>
              <w:rPr>
                <w:rFonts w:hint="eastAsia" w:ascii="Times New Roman" w:hAnsi="宋体"/>
                <w:bCs/>
                <w:sz w:val="24"/>
                <w:szCs w:val="24"/>
                <w:lang w:val="en-US" w:eastAsia="zh-CN"/>
              </w:rPr>
              <w:t>老年解剖生理变化对身体的影响</w:t>
            </w:r>
            <w:r>
              <w:rPr>
                <w:rFonts w:hint="eastAsia" w:ascii="Times New Roman" w:hAnsi="宋体"/>
                <w:bCs/>
                <w:sz w:val="24"/>
                <w:szCs w:val="24"/>
              </w:rPr>
              <w:t>，最大限度地确保</w:t>
            </w:r>
            <w:r>
              <w:rPr>
                <w:rFonts w:hint="eastAsia" w:ascii="Times New Roman" w:hAnsi="宋体"/>
                <w:bCs/>
                <w:sz w:val="24"/>
                <w:szCs w:val="24"/>
                <w:lang w:val="en-US" w:eastAsia="zh-CN"/>
              </w:rPr>
              <w:t>老年人生活</w:t>
            </w:r>
            <w:r>
              <w:rPr>
                <w:rFonts w:hint="eastAsia" w:ascii="Times New Roman" w:hAnsi="宋体"/>
                <w:bCs/>
                <w:sz w:val="24"/>
                <w:szCs w:val="24"/>
              </w:rPr>
              <w:t>质量。</w:t>
            </w:r>
          </w:p>
        </w:tc>
      </w:tr>
      <w:tr w14:paraId="698FD3D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3BABFB7">
            <w:pPr>
              <w:keepNext w:val="0"/>
              <w:keepLines w:val="0"/>
              <w:suppressLineNumbers w:val="0"/>
              <w:spacing w:before="0" w:beforeAutospacing="0" w:after="0" w:afterAutospacing="0" w:line="360" w:lineRule="auto"/>
              <w:ind w:left="0" w:right="0" w:hanging="8"/>
              <w:jc w:val="center"/>
              <w:rPr>
                <w:rFonts w:hint="default" w:ascii="Times New Roman" w:hAnsi="宋体"/>
                <w:b/>
                <w:sz w:val="24"/>
                <w:szCs w:val="24"/>
              </w:rPr>
            </w:pPr>
            <w:r>
              <w:rPr>
                <w:rFonts w:hint="default" w:ascii="Times New Roman" w:hAnsi="宋体"/>
                <w:b/>
                <w:sz w:val="24"/>
                <w:szCs w:val="24"/>
              </w:rPr>
              <w:t>教学重</w:t>
            </w:r>
            <w:r>
              <w:rPr>
                <w:rFonts w:hint="eastAsia" w:ascii="Times New Roman" w:hAnsi="宋体"/>
                <w:b/>
                <w:sz w:val="24"/>
                <w:szCs w:val="24"/>
              </w:rPr>
              <w:t>难</w:t>
            </w:r>
            <w:r>
              <w:rPr>
                <w:rFonts w:hint="default" w:ascii="Times New Roman" w:hAnsi="宋体"/>
                <w:b/>
                <w:sz w:val="24"/>
                <w:szCs w:val="24"/>
              </w:rPr>
              <w:t>点</w:t>
            </w:r>
          </w:p>
        </w:tc>
        <w:tc>
          <w:tcPr>
            <w:tcW w:w="8904" w:type="dxa"/>
            <w:gridSpan w:val="2"/>
            <w:tcBorders>
              <w:tl2br w:val="nil"/>
              <w:tr2bl w:val="nil"/>
            </w:tcBorders>
            <w:vAlign w:val="center"/>
          </w:tcPr>
          <w:p w14:paraId="70C9742C">
            <w:pPr>
              <w:keepNext w:val="0"/>
              <w:keepLines w:val="0"/>
              <w:suppressLineNumbers w:val="0"/>
              <w:spacing w:before="0" w:beforeAutospacing="0" w:after="0" w:afterAutospacing="0" w:line="360" w:lineRule="auto"/>
              <w:ind w:left="0" w:right="0" w:hanging="8"/>
              <w:rPr>
                <w:rFonts w:hint="default" w:ascii="Times New Roman" w:hAnsi="Times New Roman" w:eastAsia="宋体"/>
                <w:sz w:val="24"/>
                <w:szCs w:val="24"/>
                <w:lang w:val="en-US" w:eastAsia="zh-CN"/>
              </w:rPr>
            </w:pPr>
            <w:r>
              <w:rPr>
                <w:rFonts w:hint="eastAsia" w:ascii="Times New Roman" w:hAnsi="Times New Roman"/>
                <w:b/>
                <w:color w:val="7030A0"/>
                <w:sz w:val="24"/>
                <w:szCs w:val="24"/>
              </w:rPr>
              <w:t>教学重点：</w:t>
            </w:r>
            <w:r>
              <w:rPr>
                <w:rFonts w:hint="eastAsia" w:ascii="Times New Roman" w:hAnsi="宋体"/>
                <w:bCs/>
                <w:sz w:val="24"/>
                <w:szCs w:val="24"/>
                <w:lang w:val="en-US" w:eastAsia="zh-CN"/>
              </w:rPr>
              <w:t>老年</w:t>
            </w:r>
            <w:r>
              <w:rPr>
                <w:rFonts w:hint="eastAsia" w:ascii="Times New Roman" w:hAnsi="宋体"/>
                <w:bCs/>
                <w:sz w:val="24"/>
                <w:szCs w:val="24"/>
              </w:rPr>
              <w:t>男性生殖系统和女性生殖系统</w:t>
            </w:r>
            <w:r>
              <w:rPr>
                <w:rFonts w:hint="eastAsia" w:ascii="Times New Roman" w:hAnsi="宋体"/>
                <w:bCs/>
                <w:sz w:val="24"/>
                <w:szCs w:val="24"/>
                <w:lang w:val="en-US" w:eastAsia="zh-CN"/>
              </w:rPr>
              <w:t>的解剖生理特点</w:t>
            </w:r>
          </w:p>
          <w:p w14:paraId="28D79B3C">
            <w:pPr>
              <w:keepNext w:val="0"/>
              <w:keepLines w:val="0"/>
              <w:suppressLineNumbers w:val="0"/>
              <w:spacing w:before="0" w:beforeAutospacing="0" w:after="0" w:afterAutospacing="0" w:line="360" w:lineRule="auto"/>
              <w:ind w:left="0" w:right="0" w:hanging="8"/>
              <w:rPr>
                <w:rFonts w:hint="default" w:ascii="Times New Roman" w:hAnsi="Times New Roman" w:eastAsia="宋体"/>
                <w:sz w:val="24"/>
                <w:szCs w:val="24"/>
                <w:lang w:val="en-US" w:eastAsia="zh-CN"/>
              </w:rPr>
            </w:pPr>
            <w:r>
              <w:rPr>
                <w:rFonts w:hint="eastAsia" w:ascii="Times New Roman" w:hAnsi="Times New Roman"/>
                <w:b/>
                <w:color w:val="7030A0"/>
                <w:sz w:val="24"/>
                <w:szCs w:val="24"/>
              </w:rPr>
              <w:t>教学难点：</w:t>
            </w:r>
            <w:r>
              <w:rPr>
                <w:rFonts w:hint="eastAsia" w:ascii="宋体" w:hAnsi="宋体" w:cs="宋体"/>
                <w:kern w:val="0"/>
                <w:sz w:val="24"/>
                <w:szCs w:val="24"/>
              </w:rPr>
              <w:t>I</w:t>
            </w:r>
            <w:r>
              <w:rPr>
                <w:rFonts w:hint="eastAsia" w:ascii="宋体" w:hAnsi="宋体" w:cs="宋体"/>
                <w:kern w:val="0"/>
                <w:sz w:val="24"/>
                <w:szCs w:val="24"/>
                <w:lang w:val="en-US" w:eastAsia="zh-CN"/>
              </w:rPr>
              <w:t>女性生殖系统解剖生理的改变</w:t>
            </w:r>
          </w:p>
        </w:tc>
      </w:tr>
      <w:tr w14:paraId="52F654C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881EE6E">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教学方法</w:t>
            </w:r>
          </w:p>
        </w:tc>
        <w:tc>
          <w:tcPr>
            <w:tcW w:w="8904" w:type="dxa"/>
            <w:gridSpan w:val="2"/>
            <w:tcBorders>
              <w:tl2br w:val="nil"/>
              <w:tr2bl w:val="nil"/>
            </w:tcBorders>
            <w:vAlign w:val="center"/>
          </w:tcPr>
          <w:p w14:paraId="6B6AE8CB">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2A28751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02F55DB">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教学用具</w:t>
            </w:r>
          </w:p>
        </w:tc>
        <w:tc>
          <w:tcPr>
            <w:tcW w:w="8904" w:type="dxa"/>
            <w:gridSpan w:val="2"/>
            <w:tcBorders>
              <w:tl2br w:val="nil"/>
              <w:tr2bl w:val="nil"/>
            </w:tcBorders>
            <w:vAlign w:val="center"/>
          </w:tcPr>
          <w:p w14:paraId="2D4D8BD5">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1F84C4F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6425223">
            <w:pPr>
              <w:keepNext w:val="0"/>
              <w:keepLines w:val="0"/>
              <w:suppressLineNumbers w:val="0"/>
              <w:spacing w:before="0" w:beforeAutospacing="0" w:after="0" w:afterAutospacing="0" w:line="360" w:lineRule="auto"/>
              <w:ind w:left="0" w:right="0" w:hanging="8"/>
              <w:jc w:val="center"/>
              <w:rPr>
                <w:rFonts w:hint="default" w:ascii="Times New Roman" w:hAnsi="宋体"/>
                <w:b/>
                <w:sz w:val="24"/>
                <w:szCs w:val="24"/>
              </w:rPr>
            </w:pPr>
            <w:r>
              <w:rPr>
                <w:rFonts w:hint="default" w:ascii="Times New Roman" w:hAnsi="宋体"/>
                <w:b/>
                <w:sz w:val="24"/>
                <w:szCs w:val="24"/>
              </w:rPr>
              <w:t>教学设计</w:t>
            </w:r>
          </w:p>
        </w:tc>
        <w:tc>
          <w:tcPr>
            <w:tcW w:w="8904" w:type="dxa"/>
            <w:gridSpan w:val="2"/>
            <w:tcBorders>
              <w:tl2br w:val="nil"/>
              <w:tr2bl w:val="nil"/>
            </w:tcBorders>
            <w:vAlign w:val="center"/>
          </w:tcPr>
          <w:p w14:paraId="2000F09F">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27A471CE">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p w14:paraId="2C8327FB">
            <w:pPr>
              <w:keepNext w:val="0"/>
              <w:keepLines w:val="0"/>
              <w:suppressLineNumbers w:val="0"/>
              <w:spacing w:before="0" w:beforeAutospacing="0" w:after="0" w:afterAutospacing="0" w:line="360" w:lineRule="auto"/>
              <w:ind w:left="0" w:right="0" w:hanging="8"/>
              <w:rPr>
                <w:rFonts w:hint="eastAsia"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3</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eastAsia="zh-CN"/>
              </w:rPr>
              <w:t>作业布置</w:t>
            </w:r>
            <w:r>
              <w:rPr>
                <w:rFonts w:hint="eastAsia" w:ascii="Times New Roman" w:hAnsi="宋体"/>
                <w:sz w:val="24"/>
                <w:szCs w:val="24"/>
              </w:rPr>
              <w:t>（2min）</w:t>
            </w:r>
          </w:p>
          <w:p w14:paraId="1E213DBB">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4</w:t>
            </w:r>
            <w:r>
              <w:rPr>
                <w:rFonts w:hint="default" w:ascii="Times New Roman" w:hAnsi="宋体"/>
                <w:sz w:val="24"/>
                <w:szCs w:val="24"/>
              </w:rPr>
              <w:t>节课：知识讲解（40min）--课堂小结（3min）--作业布置（2min）</w:t>
            </w:r>
          </w:p>
        </w:tc>
      </w:tr>
      <w:tr w14:paraId="3A6DFB0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A878D4"/>
            <w:vAlign w:val="center"/>
          </w:tcPr>
          <w:p w14:paraId="003E4DD8">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7208" w:type="dxa"/>
            <w:tcBorders>
              <w:tl2br w:val="nil"/>
              <w:tr2bl w:val="nil"/>
            </w:tcBorders>
            <w:shd w:val="clear" w:color="auto" w:fill="A878D4"/>
            <w:vAlign w:val="center"/>
          </w:tcPr>
          <w:p w14:paraId="5682B26F">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主要教学内容及步骤</w:t>
            </w:r>
          </w:p>
        </w:tc>
        <w:tc>
          <w:tcPr>
            <w:tcW w:w="1696" w:type="dxa"/>
            <w:tcBorders>
              <w:tl2br w:val="nil"/>
              <w:tr2bl w:val="nil"/>
            </w:tcBorders>
            <w:shd w:val="clear" w:color="auto" w:fill="A878D4"/>
            <w:vAlign w:val="center"/>
          </w:tcPr>
          <w:p w14:paraId="761803A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default" w:ascii="Times New Roman" w:hAnsi="Times New Roman"/>
                <w:b/>
                <w:bCs w:val="0"/>
                <w:color w:val="FFFFFF" w:themeColor="background1"/>
                <w:sz w:val="24"/>
                <w:szCs w:val="24"/>
                <w14:textFill>
                  <w14:solidFill>
                    <w14:schemeClr w14:val="bg1"/>
                  </w14:solidFill>
                </w14:textFill>
              </w:rPr>
              <w:t>设计意图</w:t>
            </w:r>
          </w:p>
        </w:tc>
      </w:tr>
      <w:tr w14:paraId="65EC727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PrEx>
        <w:trPr>
          <w:trHeight w:val="680" w:hRule="atLeast"/>
          <w:jc w:val="center"/>
        </w:trPr>
        <w:tc>
          <w:tcPr>
            <w:tcW w:w="1584" w:type="dxa"/>
            <w:tcBorders>
              <w:tl2br w:val="nil"/>
              <w:tr2bl w:val="nil"/>
            </w:tcBorders>
            <w:shd w:val="clear" w:color="auto" w:fill="F4EFFA"/>
            <w:vAlign w:val="center"/>
          </w:tcPr>
          <w:p w14:paraId="4EB98AC6">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2C85545B">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7208" w:type="dxa"/>
            <w:tcBorders>
              <w:tl2br w:val="nil"/>
              <w:tr2bl w:val="nil"/>
            </w:tcBorders>
            <w:vAlign w:val="center"/>
          </w:tcPr>
          <w:p w14:paraId="00AA6D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2C4435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96" w:type="dxa"/>
            <w:tcBorders>
              <w:tl2br w:val="nil"/>
              <w:tr2bl w:val="nil"/>
            </w:tcBorders>
            <w:vAlign w:val="center"/>
          </w:tcPr>
          <w:p w14:paraId="2E05CF86">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621DD64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C9456D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F1101FD">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6AACCC6C">
            <w:pPr>
              <w:keepNext w:val="0"/>
              <w:keepLines w:val="0"/>
              <w:widowControl/>
              <w:suppressLineNumbers w:val="0"/>
              <w:spacing w:before="0" w:beforeAutospacing="0" w:after="0" w:afterAutospacing="0" w:line="360" w:lineRule="auto"/>
              <w:ind w:left="0" w:right="0"/>
              <w:jc w:val="left"/>
              <w:rPr>
                <w:rFonts w:hint="default" w:ascii="Times New Roman" w:hAnsi="Times New Roman"/>
                <w:b w:val="0"/>
                <w:bCs/>
                <w:color w:val="C00000"/>
                <w:sz w:val="24"/>
                <w:szCs w:val="24"/>
                <w:lang w:val="en-US" w:eastAsia="zh-CN"/>
              </w:rPr>
            </w:pPr>
            <w:r>
              <w:rPr>
                <w:rFonts w:hint="eastAsia" w:ascii="Times New Roman" w:hAnsi="Times New Roman"/>
                <w:b/>
                <w:color w:val="C00000"/>
                <w:sz w:val="24"/>
                <w:szCs w:val="24"/>
              </w:rPr>
              <w:t>【教师】</w:t>
            </w:r>
            <w:r>
              <w:rPr>
                <w:rFonts w:hint="eastAsia" w:ascii="宋体" w:hAnsi="宋体" w:eastAsia="宋体" w:cs="宋体"/>
                <w:b w:val="0"/>
                <w:bCs/>
                <w:color w:val="C00000"/>
                <w:kern w:val="2"/>
                <w:sz w:val="24"/>
                <w:szCs w:val="24"/>
                <w:lang w:val="en-US" w:eastAsia="zh-CN" w:bidi="ar"/>
              </w:rPr>
              <w:t>展示</w:t>
            </w:r>
            <w:r>
              <w:rPr>
                <w:rFonts w:hint="default" w:ascii="宋体" w:hAnsi="宋体" w:eastAsia="宋体" w:cs="宋体"/>
                <w:b w:val="0"/>
                <w:bCs/>
                <w:color w:val="C00000"/>
                <w:kern w:val="2"/>
                <w:sz w:val="24"/>
                <w:szCs w:val="24"/>
                <w:lang w:val="en-US" w:eastAsia="zh-CN" w:bidi="ar"/>
              </w:rPr>
              <w:t>男性生殖系统</w:t>
            </w:r>
            <w:r>
              <w:rPr>
                <w:rFonts w:hint="eastAsia" w:ascii="宋体" w:hAnsi="宋体" w:eastAsia="宋体" w:cs="宋体"/>
                <w:b w:val="0"/>
                <w:bCs/>
                <w:color w:val="C00000"/>
                <w:kern w:val="2"/>
                <w:sz w:val="24"/>
                <w:szCs w:val="24"/>
                <w:lang w:val="en-US" w:eastAsia="zh-CN" w:bidi="ar"/>
              </w:rPr>
              <w:t>组成</w:t>
            </w:r>
            <w:r>
              <w:rPr>
                <w:rFonts w:hint="eastAsia" w:ascii="宋体" w:hAnsi="宋体" w:cs="宋体"/>
                <w:b w:val="0"/>
                <w:bCs/>
                <w:color w:val="C00000"/>
                <w:kern w:val="2"/>
                <w:sz w:val="24"/>
                <w:szCs w:val="24"/>
                <w:lang w:val="en-US" w:eastAsia="zh-CN" w:bidi="ar"/>
              </w:rPr>
              <w:t>及内生殖器内容</w:t>
            </w:r>
          </w:p>
          <w:p w14:paraId="27FA6D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b/>
                <w:bCs w:val="0"/>
                <w:color w:val="000000" w:themeColor="text1"/>
                <w:sz w:val="24"/>
                <w:szCs w:val="24"/>
                <w:lang w:val="en-US" w:eastAsia="zh-CN"/>
                <w14:textFill>
                  <w14:solidFill>
                    <w14:schemeClr w14:val="tx1"/>
                  </w14:solidFill>
                </w14:textFill>
              </w:rPr>
            </w:pPr>
            <w:r>
              <w:rPr>
                <w:rFonts w:hint="default" w:ascii="Times New Roman" w:hAnsi="Times New Roman"/>
                <w:b/>
                <w:bCs w:val="0"/>
                <w:color w:val="000000" w:themeColor="text1"/>
                <w:sz w:val="24"/>
                <w:szCs w:val="24"/>
                <w:lang w:val="en-US" w:eastAsia="zh-CN"/>
                <w14:textFill>
                  <w14:solidFill>
                    <w14:schemeClr w14:val="tx1"/>
                  </w14:solidFill>
                </w14:textFill>
              </w:rPr>
              <w:t>一、</w:t>
            </w:r>
            <w:r>
              <w:rPr>
                <w:rFonts w:hint="eastAsia" w:ascii="Times New Roman" w:hAnsi="Times New Roman"/>
                <w:b/>
                <w:bCs w:val="0"/>
                <w:color w:val="000000" w:themeColor="text1"/>
                <w:sz w:val="24"/>
                <w:szCs w:val="24"/>
                <w:lang w:val="en-US" w:eastAsia="zh-CN"/>
                <w14:textFill>
                  <w14:solidFill>
                    <w14:schemeClr w14:val="tx1"/>
                  </w14:solidFill>
                </w14:textFill>
              </w:rPr>
              <w:t>概述</w:t>
            </w:r>
          </w:p>
          <w:p w14:paraId="6E9500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男性生殖系统包括内生殖器和外生殖器两个部分。内生殖器由生殖腺（睾丸）、生殖管道管 （附睾、输精管、射精管和尿道）和附属腺（精囊、前列腺、尿道球腺）组成。外生殖器包括阴囊和阴茎。</w:t>
            </w:r>
          </w:p>
          <w:p w14:paraId="07C9A7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b/>
                <w:bCs w:val="0"/>
                <w:color w:val="000000" w:themeColor="text1"/>
                <w:sz w:val="24"/>
                <w:szCs w:val="24"/>
                <w:lang w:val="en-US" w:eastAsia="zh-CN"/>
                <w14:textFill>
                  <w14:solidFill>
                    <w14:schemeClr w14:val="tx1"/>
                  </w14:solidFill>
                </w14:textFill>
              </w:rPr>
            </w:pPr>
            <w:r>
              <w:rPr>
                <w:rFonts w:hint="default" w:ascii="Times New Roman" w:hAnsi="Times New Roman"/>
                <w:b/>
                <w:bCs w:val="0"/>
                <w:color w:val="000000" w:themeColor="text1"/>
                <w:sz w:val="24"/>
                <w:szCs w:val="24"/>
                <w:lang w:val="en-US" w:eastAsia="zh-CN"/>
                <w14:textFill>
                  <w14:solidFill>
                    <w14:schemeClr w14:val="tx1"/>
                  </w14:solidFill>
                </w14:textFill>
              </w:rPr>
              <w:t>二、男性内生殖器</w:t>
            </w:r>
          </w:p>
          <w:p w14:paraId="6669A2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（一）生殖腺——睾丸</w:t>
            </w:r>
          </w:p>
          <w:p w14:paraId="346409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睾丸是男性的生殖腺，具有产生精子和分泌雄激素的功能。</w:t>
            </w:r>
          </w:p>
          <w:p w14:paraId="05A21E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睾丸（testis）位于阴囊内，呈左右对称分布。作为扁卵圆形的实质性器官，其表面光滑，解 剖学上可分为上下两端、内外两侧面及前后两缘。其中前缘与下端为游离状态，上端及后缘与 附睾紧密贴附。后缘特化为神经血管门（hilum），是睾丸动脉、静脉、神经及淋巴管等结构的出 入通道（见图 12 - 1）。睾丸随着性成熟迅速生长，老年人的随着性功能的衰退，睾丸逐渐萎缩变 小，重量减轻，至 70 岁以后明显退变，生精功能下降，但仍然有精子产生。射精量、精子总数</w:t>
            </w:r>
          </w:p>
          <w:p w14:paraId="6B5F72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也随着年龄的增长而逐渐减少，无活力，异常精子百分比增多； 睾丸间质细胞随着年龄的增长，对促性腺激素反应、分泌雄性激 素的能力减退，会使睾酮（雄激素）减少。</w:t>
            </w:r>
          </w:p>
          <w:p w14:paraId="650750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b/>
                <w:bCs w:val="0"/>
                <w:color w:val="000000" w:themeColor="text1"/>
                <w:sz w:val="24"/>
                <w:szCs w:val="24"/>
                <w:lang w:val="en-US" w:eastAsia="zh-CN"/>
                <w14:textFill>
                  <w14:solidFill>
                    <w14:schemeClr w14:val="tx1"/>
                  </w14:solidFill>
                </w14:textFill>
              </w:rPr>
            </w:pPr>
            <w:r>
              <w:rPr>
                <w:rFonts w:hint="default" w:ascii="Times New Roman" w:hAnsi="Times New Roman"/>
                <w:b/>
                <w:bCs w:val="0"/>
                <w:color w:val="000000" w:themeColor="text1"/>
                <w:sz w:val="24"/>
                <w:szCs w:val="24"/>
                <w:lang w:val="en-US" w:eastAsia="zh-CN"/>
                <w14:textFill>
                  <w14:solidFill>
                    <w14:schemeClr w14:val="tx1"/>
                  </w14:solidFill>
                </w14:textFill>
              </w:rPr>
              <w:t>（二）生殖管道</w:t>
            </w:r>
          </w:p>
          <w:p w14:paraId="64C827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男性生殖管道包括附睾、输精管、射精管、男性尿道。</w:t>
            </w:r>
          </w:p>
          <w:p w14:paraId="4B7896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1.  附睾   呈新月形，紧贴睾丸上端和后缘，可分为头、体、 尾三部，附睾尾弯曲向上移行为输精管。附睾具有储存精子，促  进精子进一步发育成熟的功能。附睾是结核好发的部位。老年人  附睾功能也会减退，影响精子的储存和运输。</w:t>
            </w:r>
          </w:p>
          <w:p w14:paraId="4157B7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br w:type="column"/>
            </w:r>
            <w:r>
              <w:rPr>
                <w:rFonts w:hint="default" w:ascii="Times New Roman" w:hAnsi="Times New Roman"/>
                <w:b w:val="0"/>
                <w:bCs/>
                <w:color w:val="000000" w:themeColor="text1"/>
                <w:sz w:val="24"/>
                <w:szCs w:val="24"/>
                <w:lang w:val="en-US" w:eastAsia="zh-CN"/>
                <w14:textFill>
                  <w14:solidFill>
                    <w14:schemeClr w14:val="tx1"/>
                  </w14:solidFill>
                </w14:textFill>
              </w:rPr>
              <w:t>2.  输精管   始端续于附睾管，呈圆索状，是一壁厚腔小的肌性器官，长约 45～50 cm，根  据其行程可分为 4 部分：①睾丸部。起于附睾尾，沿睾丸后缘上行至睾丸上端。②精索部。连接 睾丸上端与腹股沟管浅环之间，位置表浅，容易触及，是输精管结扎常选部位。③腹股沟管部。 位于腹股沟管内的部分。④盆部。位于盆腔的部分。自腹股沟管深环行至膀胱底的后方，两侧输 精管逐渐汇合并膨大形成输精管壶腹。老年男性输精管会出现钙化，影响管道的通畅性。</w:t>
            </w:r>
          </w:p>
          <w:p w14:paraId="149751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3.  射精管   长约 2 cm ，穿过前列腺的实质，开口于尿道。由输精管末端和精囊的排泄管汇 合而成，穿过前列腺实质，开口于尿道前列腺部。</w:t>
            </w:r>
          </w:p>
          <w:p w14:paraId="6B2383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4.  男性尿道   兼有排尿和排精功能。</w:t>
            </w:r>
          </w:p>
          <w:p w14:paraId="74E9AB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（1）起始。起于膀胱的尿道内口，止于阴茎头的尿道外口，成人长约 16～22 cm ，管径约 0.5～0.7 mm。</w:t>
            </w:r>
          </w:p>
          <w:p w14:paraId="6F7B88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（2）分部。根据男性尿道行程将其分为前列腺部、膜部和海绵体部。临床上将海绵体部称为 前尿道，膜部和前列腺部称为后尿道。</w:t>
            </w:r>
          </w:p>
          <w:p w14:paraId="76B356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①前列腺部。是尿道贯穿前列腺的部分，管腔最粗，长约 3 cm ，其后壁有射精管和前列腺 排泄管的开口。</w:t>
            </w:r>
          </w:p>
          <w:p w14:paraId="20B2C6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②膜部。是尿道穿过尿生殖膈的部分，短而窄，长约 1.5 cm，其周围有尿道括约肌环绕，该 肌为骨骼肌，可控制排尿。</w:t>
            </w:r>
          </w:p>
          <w:p w14:paraId="16CE08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③海绵体部。是尿道穿过海绵体的部分，最长，长约 12～17 cm。此段的起始部位于尿道球 内，称为尿道球部，其内腔稍扩大，有尿道球腺排泄管的开口。尿道海绵体部的末端位于阴茎头内，管腔扩大为尿道舟状窝。</w:t>
            </w:r>
          </w:p>
          <w:p w14:paraId="27786A6D">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男性尿道的三处生理狭窄。分别位 于尿道内口、膜部和尿道外口，其中以尿道 外口最狭窄，尿道结石常嵌顿在狭窄处</w:t>
            </w:r>
            <w:r>
              <w:rPr>
                <w:rFonts w:hint="eastAsia" w:ascii="Times New Roman" w:hAnsi="Times New Roman"/>
                <w:b w:val="0"/>
                <w:bCs/>
                <w:color w:val="000000" w:themeColor="text1"/>
                <w:sz w:val="24"/>
                <w:szCs w:val="24"/>
                <w:lang w:val="en-US" w:eastAsia="zh-CN"/>
                <w14:textFill>
                  <w14:solidFill>
                    <w14:schemeClr w14:val="tx1"/>
                  </w14:solidFill>
                </w14:textFill>
              </w:rPr>
              <w:t>。</w:t>
            </w:r>
          </w:p>
          <w:p w14:paraId="1F7A664A">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两个弯曲。分别为耻骨下弯和耻骨前弯。耻骨下弯位于耻骨联合的后下方，凸向后下， 此弯曲位置固定不变。耻骨前弯位于耻骨联合的前下方，凸向前上，当向上提起阴茎时，此弯曲 变直而消失。</w:t>
            </w:r>
          </w:p>
          <w:p w14:paraId="7AF72A5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bCs w:val="0"/>
                <w:color w:val="000000" w:themeColor="text1"/>
                <w:sz w:val="24"/>
                <w:szCs w:val="24"/>
                <w:lang w:val="en-US" w:eastAsia="zh-CN"/>
                <w14:textFill>
                  <w14:solidFill>
                    <w14:schemeClr w14:val="tx1"/>
                  </w14:solidFill>
                </w14:textFill>
              </w:rPr>
              <w:t>（三）附属腺</w:t>
            </w:r>
            <w:r>
              <w:rPr>
                <w:rFonts w:hint="eastAsia" w:ascii="Times New Roman" w:hAnsi="Times New Roman"/>
                <w:b/>
                <w:bCs w:val="0"/>
                <w:color w:val="000000" w:themeColor="text1"/>
                <w:sz w:val="24"/>
                <w:szCs w:val="24"/>
                <w:lang w:val="en-US" w:eastAsia="zh-CN"/>
                <w14:textFill>
                  <w14:solidFill>
                    <w14:schemeClr w14:val="tx1"/>
                  </w14:solidFill>
                </w14:textFill>
              </w:rPr>
              <w:t xml:space="preserve">  </w:t>
            </w:r>
            <w:r>
              <w:rPr>
                <w:rFonts w:hint="default" w:ascii="Times New Roman" w:hAnsi="Times New Roman"/>
                <w:b w:val="0"/>
                <w:bCs/>
                <w:color w:val="000000" w:themeColor="text1"/>
                <w:sz w:val="24"/>
                <w:szCs w:val="24"/>
                <w:lang w:val="en-US" w:eastAsia="zh-CN"/>
                <w14:textFill>
                  <w14:solidFill>
                    <w14:schemeClr w14:val="tx1"/>
                  </w14:solidFill>
                </w14:textFill>
              </w:rPr>
              <w:t>包括精囊、前列腺和尿道球腺</w:t>
            </w:r>
            <w:r>
              <w:rPr>
                <w:rFonts w:hint="eastAsia" w:ascii="Times New Roman" w:hAnsi="Times New Roman"/>
                <w:b w:val="0"/>
                <w:bCs/>
                <w:color w:val="000000" w:themeColor="text1"/>
                <w:sz w:val="24"/>
                <w:szCs w:val="24"/>
                <w:lang w:val="en-US" w:eastAsia="zh-CN"/>
                <w14:textFill>
                  <w14:solidFill>
                    <w14:schemeClr w14:val="tx1"/>
                  </w14:solidFill>
                </w14:textFill>
              </w:rPr>
              <w:t>。</w:t>
            </w:r>
          </w:p>
          <w:p w14:paraId="395EFF0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精囊腺、前列腺、尿道球腺和生殖管道均能产生分泌物，这些分泌物和精子共同构成精液。 精液通常为乳白色的黏稠液体，呈弱碱性。正常成年男性一次射精可排出精液 3～5 mL，每毫升 含精子 1 亿～2亿个；若每毫升含精子低于 400 万个，可导致不育症。</w:t>
            </w:r>
          </w:p>
          <w:p w14:paraId="7CA10C7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1.  精囊   精囊是一对长条形囊状器官，表面凹凸不平，位于膀胱底后方，其排泄管与输精 管壶腹末端汇合成射精管。老年男性精囊的分泌功能会有所下降。精囊腺黏膜皱褶数目减少，管 壁肌层萎缩，为结缔组织所代替。</w:t>
            </w:r>
          </w:p>
          <w:p w14:paraId="7E6EDE6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2.  前列腺   为单一的实质性器官，中间有尿道通过，位于膀胱颈与尿生殖膈之间，包绕尿 道起始部。其大小和形状如栗子。上端宽大称为前列腺底，下端尖细称为前列腺尖，尖和底之间 为前列腺体，前列腺后面平坦，正中有一浅的前列腺沟，在活体经直肠指检可触及。前列腺肥大 时，此沟消失。前列腺可分泌乳白色弱碱性液体，参与精液的形成。小儿前列腺组织不发达，性 成熟期腺组织迅速生长发育；老年男性前列腺某些小叶出现明显的萎缩性变化，结缔组织增生， 前列腺可由栗子样大小，增生至鸡蛋大小或鹅蛋大小，可使尿道部分或全部阻塞，导致排尿困难 及尿潴留。前列腺的变化是男性更年期的标志。</w:t>
            </w:r>
          </w:p>
          <w:p w14:paraId="47E2821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3.  尿道球腺   是埋藏在尿道生殖膈内的一对豌豆大小的球形腺体。以细长的排泄管开口于 尿道球部。其分泌物亦参与精液的组成。</w:t>
            </w:r>
          </w:p>
          <w:p w14:paraId="2D3BBC4A">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33A3A013">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lang w:val="en-US"/>
              </w:rPr>
            </w:pPr>
            <w:r>
              <w:rPr>
                <w:rFonts w:hint="eastAsia" w:ascii="Times New Roman" w:hAnsi="Times New Roman"/>
                <w:b/>
                <w:sz w:val="24"/>
                <w:szCs w:val="24"/>
                <w:lang w:val="en-US" w:eastAsia="zh-CN"/>
              </w:rPr>
              <w:t>展示男性生殖系统模型，了解男性生殖系统的结构构成</w:t>
            </w:r>
          </w:p>
        </w:tc>
      </w:tr>
      <w:tr w14:paraId="0EFD28A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4DE1785A">
            <w:pPr>
              <w:keepNext w:val="0"/>
              <w:keepLines w:val="0"/>
              <w:suppressLineNumbers w:val="0"/>
              <w:spacing w:before="0" w:beforeAutospacing="0" w:after="0" w:afterAutospacing="0" w:line="360"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7208" w:type="dxa"/>
            <w:tcBorders>
              <w:tl2br w:val="nil"/>
              <w:tr2bl w:val="nil"/>
            </w:tcBorders>
            <w:vAlign w:val="center"/>
          </w:tcPr>
          <w:p w14:paraId="46F49AC4">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69CCAFFE">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eastAsia="zh-CN"/>
              </w:rPr>
            </w:pPr>
            <w:r>
              <w:rPr>
                <w:rFonts w:hint="eastAsia" w:hAnsi="宋体"/>
                <w:bCs/>
                <w:sz w:val="24"/>
                <w:szCs w:val="24"/>
                <w:lang w:val="en-US" w:eastAsia="zh-CN"/>
              </w:rPr>
              <w:t>绘制男性生殖系统结构的思维导图</w:t>
            </w:r>
            <w:r>
              <w:rPr>
                <w:rFonts w:hint="eastAsia" w:hAnsi="宋体"/>
                <w:bCs/>
                <w:sz w:val="24"/>
                <w:szCs w:val="24"/>
                <w:lang w:eastAsia="zh-CN"/>
              </w:rPr>
              <w:t>。</w:t>
            </w:r>
          </w:p>
        </w:tc>
        <w:tc>
          <w:tcPr>
            <w:tcW w:w="1696" w:type="dxa"/>
            <w:tcBorders>
              <w:tl2br w:val="nil"/>
              <w:tr2bl w:val="nil"/>
            </w:tcBorders>
            <w:vAlign w:val="center"/>
          </w:tcPr>
          <w:p w14:paraId="16C29C32">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r>
              <w:rPr>
                <w:rFonts w:hint="eastAsia" w:ascii="Times New Roman" w:hAnsi="Times New Roman"/>
                <w:b w:val="0"/>
                <w:bCs/>
                <w:sz w:val="24"/>
                <w:szCs w:val="24"/>
              </w:rPr>
              <w:t>通过课后练习，使学生巩固所学新知识</w:t>
            </w:r>
          </w:p>
        </w:tc>
      </w:tr>
      <w:tr w14:paraId="59FA823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74BF489">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8E043B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（40</w:t>
            </w:r>
            <w:r>
              <w:rPr>
                <w:rFonts w:hint="eastAsia" w:ascii="Times New Roman" w:hAnsi="Times New Roman"/>
                <w:sz w:val="24"/>
                <w:szCs w:val="24"/>
              </w:rPr>
              <w:t>min）</w:t>
            </w:r>
          </w:p>
        </w:tc>
        <w:tc>
          <w:tcPr>
            <w:tcW w:w="7208" w:type="dxa"/>
            <w:tcBorders>
              <w:tl2br w:val="nil"/>
              <w:tr2bl w:val="nil"/>
            </w:tcBorders>
            <w:vAlign w:val="center"/>
          </w:tcPr>
          <w:p w14:paraId="1E18E5DB">
            <w:pPr>
              <w:keepNext w:val="0"/>
              <w:keepLines w:val="0"/>
              <w:suppressLineNumbers w:val="0"/>
              <w:spacing w:before="84" w:beforeAutospacing="0" w:after="0" w:afterAutospacing="0" w:line="343" w:lineRule="exact"/>
              <w:ind w:left="0" w:right="0"/>
              <w:outlineLvl w:val="1"/>
              <w:rPr>
                <w:rFonts w:hint="default"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cs="宋体"/>
                <w:b w:val="0"/>
                <w:bCs/>
                <w:color w:val="C00000"/>
                <w:kern w:val="2"/>
                <w:sz w:val="24"/>
                <w:szCs w:val="24"/>
                <w:lang w:val="en-US" w:eastAsia="zh-CN" w:bidi="ar"/>
              </w:rPr>
              <w:t>展示男性外生殖器和女性内生殖器的内容</w:t>
            </w:r>
          </w:p>
          <w:p w14:paraId="034AD652">
            <w:pPr>
              <w:keepNext w:val="0"/>
              <w:keepLines w:val="0"/>
              <w:suppressLineNumbers w:val="0"/>
              <w:spacing w:before="84" w:beforeAutospacing="0" w:after="0" w:afterAutospacing="0" w:line="343" w:lineRule="exact"/>
              <w:ind w:left="0" w:right="0"/>
              <w:outlineLvl w:val="1"/>
              <w:rPr>
                <w:rFonts w:hint="default" w:ascii="宋体" w:hAnsi="宋体" w:cs="宋体"/>
                <w:b/>
                <w:bCs w:val="0"/>
                <w:color w:val="000000"/>
                <w:kern w:val="2"/>
                <w:sz w:val="24"/>
                <w:szCs w:val="24"/>
                <w:lang w:val="en-US" w:eastAsia="zh-CN" w:bidi="ar"/>
              </w:rPr>
            </w:pPr>
            <w:r>
              <w:rPr>
                <w:rFonts w:hint="eastAsia" w:ascii="黑体" w:hAnsi="黑体" w:eastAsia="黑体" w:cs="黑体"/>
                <w:b/>
                <w:bCs/>
                <w:color w:val="auto"/>
                <w:spacing w:val="-5"/>
                <w:position w:val="1"/>
                <w:sz w:val="26"/>
                <w:szCs w:val="26"/>
                <w:lang w:val="en-US" w:eastAsia="zh-CN"/>
              </w:rPr>
              <w:t>三、</w:t>
            </w:r>
            <w:r>
              <w:rPr>
                <w:rFonts w:hint="default" w:ascii="黑体" w:hAnsi="黑体" w:eastAsia="黑体" w:cs="黑体"/>
                <w:b/>
                <w:bCs/>
                <w:color w:val="auto"/>
                <w:spacing w:val="-5"/>
                <w:position w:val="1"/>
                <w:sz w:val="26"/>
                <w:szCs w:val="26"/>
              </w:rPr>
              <w:t>男性外生殖器</w:t>
            </w:r>
          </w:p>
          <w:p w14:paraId="3E9E3DF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（一）阴囊</w:t>
            </w:r>
          </w:p>
          <w:p w14:paraId="787661A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位于阴茎的后下方，为皮肤囊袋，主要由皮肤和肉膜两部分构成。皮肤薄而柔软，性成熟 后生有少量阴毛，色素沉着明显。肉膜在正中线上，向深部发出阴囊中隔，将阴囊分成左右两 部，各容纳同侧的睾丸和附睾。肉膜内含有平滑肌细胞，可随外界环境温度变化而舒缩，从而调 节阴囊的温度，有利于精子的生存与发育。老年男性阴囊的调节功能逐渐减弱。</w:t>
            </w:r>
          </w:p>
          <w:p w14:paraId="6AF758A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（二）阴茎</w:t>
            </w:r>
          </w:p>
          <w:p w14:paraId="413D810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阴茎呈圆柱状，分为头、体、根三部分。</w:t>
            </w:r>
          </w:p>
          <w:p w14:paraId="03F2EB2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阴茎头为阴茎前端膨大的部分，也称为龟头。阴茎头富含神经末梢，为男性主要性敏感区。</w:t>
            </w:r>
          </w:p>
          <w:p w14:paraId="7280C31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头部尖端有尿道外口。老年男性阴茎的勃起功能有所下降，这与血管、神经的功能和激素水平的变化有关。</w:t>
            </w:r>
          </w:p>
          <w:p w14:paraId="3B49C5B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阴茎由2 条阴茎海绵体和 1 条尿道海绵体以及外面的筋膜和皮肤组成。2条阴茎海绵 体并列于阴茎背侧，紧密结合，是阴茎的主 体。尿道海绵体内有尿道贯穿全程。阴茎的皮 肤薄而柔软，富有伸展性，皮下无脂肪组织。 皮肤在阴茎头颈部反折形成双层的环形皱襞， 称为阴茎包皮。在尿道外口下方，有一小皱襞 与包皮相连，称为包皮系带。在做包皮环切手术时，注意勿伤及此带。</w:t>
            </w:r>
          </w:p>
          <w:p w14:paraId="607351B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女性生殖系统</w:t>
            </w:r>
          </w:p>
          <w:p w14:paraId="370079E7">
            <w:pPr>
              <w:keepNext w:val="0"/>
              <w:keepLines w:val="0"/>
              <w:pageBreakBefore w:val="0"/>
              <w:widowControl w:val="0"/>
              <w:numPr>
                <w:ilvl w:val="0"/>
                <w:numId w:val="0"/>
              </w:numPr>
              <w:suppressLineNumbers w:val="0"/>
              <w:kinsoku/>
              <w:wordWrap/>
              <w:overflowPunct/>
              <w:topLinePunct w:val="0"/>
              <w:autoSpaceDN/>
              <w:bidi w:val="0"/>
              <w:adjustRightInd/>
              <w:snapToGrid/>
              <w:spacing w:before="0" w:beforeAutospacing="0" w:after="0" w:afterAutospacing="0" w:line="360" w:lineRule="auto"/>
              <w:ind w:left="0" w:right="0" w:rightChars="0" w:firstLine="480" w:firstLineChars="200"/>
              <w:jc w:val="both"/>
              <w:textAlignment w:val="auto"/>
              <w:rPr>
                <w:rFonts w:hint="eastAsia" w:ascii="宋体" w:hAnsi="宋体" w:cs="宋体"/>
                <w:b w:val="0"/>
                <w:bCs/>
                <w:color w:val="000000"/>
                <w:kern w:val="2"/>
                <w:sz w:val="24"/>
                <w:szCs w:val="24"/>
                <w:lang w:val="en-US" w:eastAsia="zh-CN" w:bidi="ar"/>
              </w:rPr>
            </w:pPr>
            <w:r>
              <w:rPr>
                <w:rFonts w:hint="default" w:ascii="宋体" w:hAnsi="宋体" w:cs="宋体"/>
                <w:b w:val="0"/>
                <w:bCs/>
                <w:color w:val="000000"/>
                <w:kern w:val="2"/>
                <w:sz w:val="24"/>
                <w:szCs w:val="24"/>
                <w:lang w:val="en-US" w:eastAsia="zh-CN" w:bidi="ar"/>
              </w:rPr>
              <w:t>女性生殖系统包括内生殖器和外生殖器</w:t>
            </w:r>
            <w:r>
              <w:rPr>
                <w:rFonts w:hint="eastAsia" w:ascii="宋体" w:hAnsi="宋体" w:cs="宋体"/>
                <w:b w:val="0"/>
                <w:bCs/>
                <w:color w:val="000000"/>
                <w:kern w:val="2"/>
                <w:sz w:val="24"/>
                <w:szCs w:val="24"/>
                <w:lang w:val="en-US" w:eastAsia="zh-CN" w:bidi="ar"/>
              </w:rPr>
              <w:t>。</w:t>
            </w:r>
          </w:p>
          <w:p w14:paraId="136F2243">
            <w:pPr>
              <w:keepNext w:val="0"/>
              <w:keepLines w:val="0"/>
              <w:pageBreakBefore w:val="0"/>
              <w:widowControl w:val="0"/>
              <w:numPr>
                <w:ilvl w:val="0"/>
                <w:numId w:val="2"/>
              </w:numPr>
              <w:suppressLineNumbers w:val="0"/>
              <w:kinsoku/>
              <w:wordWrap/>
              <w:overflowPunct/>
              <w:topLinePunct w:val="0"/>
              <w:autoSpaceDN/>
              <w:bidi w:val="0"/>
              <w:adjustRightInd/>
              <w:snapToGrid/>
              <w:spacing w:before="0" w:beforeAutospacing="0" w:after="0" w:afterAutospacing="0" w:line="360" w:lineRule="auto"/>
              <w:ind w:left="0" w:right="0" w:rightChars="0" w:firstLine="482" w:firstLineChars="200"/>
              <w:jc w:val="both"/>
              <w:textAlignment w:val="auto"/>
              <w:rPr>
                <w:rFonts w:hint="default" w:ascii="宋体" w:hAnsi="宋体" w:cs="宋体"/>
                <w:b/>
                <w:bCs w:val="0"/>
                <w:color w:val="000000"/>
                <w:kern w:val="2"/>
                <w:sz w:val="24"/>
                <w:szCs w:val="24"/>
                <w:lang w:val="en-US" w:eastAsia="zh-CN" w:bidi="ar"/>
              </w:rPr>
            </w:pPr>
            <w:r>
              <w:rPr>
                <w:rFonts w:hint="default" w:ascii="宋体" w:hAnsi="宋体" w:cs="宋体"/>
                <w:b/>
                <w:bCs w:val="0"/>
                <w:color w:val="000000"/>
                <w:kern w:val="2"/>
                <w:sz w:val="24"/>
                <w:szCs w:val="24"/>
                <w:lang w:val="en-US" w:eastAsia="zh-CN" w:bidi="ar"/>
              </w:rPr>
              <w:t>女性内生殖器</w:t>
            </w:r>
          </w:p>
          <w:p w14:paraId="5D9EEE11">
            <w:pPr>
              <w:keepNext w:val="0"/>
              <w:keepLines w:val="0"/>
              <w:pageBreakBefore w:val="0"/>
              <w:widowControl w:val="0"/>
              <w:numPr>
                <w:ilvl w:val="0"/>
                <w:numId w:val="3"/>
              </w:numPr>
              <w:suppressLineNumbers w:val="0"/>
              <w:kinsoku/>
              <w:wordWrap/>
              <w:overflowPunct/>
              <w:topLinePunct w:val="0"/>
              <w:autoSpaceDN/>
              <w:bidi w:val="0"/>
              <w:adjustRightInd/>
              <w:snapToGrid/>
              <w:spacing w:before="0" w:beforeAutospacing="0" w:after="0" w:afterAutospacing="0" w:line="360" w:lineRule="auto"/>
              <w:ind w:left="420" w:leftChars="0" w:right="0" w:rightChars="0" w:firstLineChars="0"/>
              <w:jc w:val="both"/>
              <w:textAlignment w:val="auto"/>
              <w:rPr>
                <w:rFonts w:hint="default" w:ascii="宋体" w:hAnsi="宋体" w:cs="宋体"/>
                <w:b/>
                <w:bCs w:val="0"/>
                <w:color w:val="000000"/>
                <w:kern w:val="2"/>
                <w:sz w:val="24"/>
                <w:szCs w:val="24"/>
                <w:lang w:val="en-US" w:eastAsia="zh-CN" w:bidi="ar"/>
              </w:rPr>
            </w:pPr>
            <w:r>
              <w:rPr>
                <w:rFonts w:hint="default" w:ascii="宋体" w:hAnsi="宋体" w:cs="宋体"/>
                <w:b/>
                <w:bCs w:val="0"/>
                <w:color w:val="000000"/>
                <w:kern w:val="2"/>
                <w:sz w:val="24"/>
                <w:szCs w:val="24"/>
                <w:lang w:val="en-US" w:eastAsia="zh-CN" w:bidi="ar"/>
              </w:rPr>
              <w:t>生殖腺——卵巢</w:t>
            </w:r>
          </w:p>
          <w:p w14:paraId="1221F99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卵巢是女性成对的生殖腺，具有产生卵细胞和分泌雌激素、孕激素的功能。</w:t>
            </w:r>
          </w:p>
          <w:p w14:paraId="0DD0067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1.</w:t>
            </w:r>
            <w:r>
              <w:rPr>
                <w:rFonts w:hint="eastAsia" w:ascii="宋体" w:hAnsi="宋体" w:eastAsia="宋体" w:cs="宋体"/>
                <w:b w:val="0"/>
                <w:bCs/>
                <w:color w:val="000000"/>
                <w:kern w:val="2"/>
                <w:sz w:val="24"/>
                <w:szCs w:val="24"/>
                <w:lang w:val="en-US" w:eastAsia="zh-CN" w:bidi="ar"/>
              </w:rPr>
              <w:t>位置 位于子宫两侧，盆腔侧壁髂总动脉分叉处的卵巢窝内。</w:t>
            </w:r>
          </w:p>
          <w:p w14:paraId="12CC0E3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2.形态和固定装置   呈扁椭圆形，可分上下两端，前后两缘，内外侧两面。上端借卵巢悬韧带与盆壁相连；下端借卵巢固有韧带与子宫底相连；前缘中部有卵巢的血管、淋巴管及神经等出入，称为卵巢门。卵巢的形态和大小随年龄变化而不同。 幼女的卵巢较小，表面光滑，性成熟期的卵巢最大。此后由于多次排卵，卵巢表面留有瘢痕，凹凸不平。35～40 岁时，卵巢开始缩小，50 岁左右逐渐萎缩，从育龄期的3～5 cm缩至 1～2cm，表面皱缩。老年女性卵巢萎缩变小，重量减轻，皮质变薄，卵泡数量明显减少，卵巢的生殖功能 和内分泌功能显著减退，雌激素、孕激素等性激素的分泌量大幅下降，导致女性出现一系列更年期症状。</w:t>
            </w:r>
          </w:p>
          <w:p w14:paraId="22919A3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（二）生殖管道</w:t>
            </w:r>
          </w:p>
          <w:p w14:paraId="3BD27DC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女性生殖系统的管道包括输卵管、子宫、阴道。</w:t>
            </w:r>
          </w:p>
          <w:p w14:paraId="3D117A9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输卵管  为成对细长弯曲的肌性管道，长约 10～14 cm ，分别连接子宫底的两侧，位于 子宫阔韧带的上缘内。其内侧端经输卵管子宫口通向子宫腔，外侧端以输卵管腹腔口开口于腹 膜腔。输卵管全长由内侧向外侧可分为 4 部分：①输卵管子宫部，位于子宫壁内，开口于子宫 腔；②输卵管峡，最狭窄的一段，是输卵管结扎术的常选部位；③输卵管壶腹，是卵细胞受精的 部位；④输卵管漏斗，呈漏斗状，是输卵管外侧端膨大的部分，末端的边缘有许多细长的指状突 起，称为输卵管伞，可以引导卵细胞进入输卵管，也是手术时识别输卵管的重要标志。</w:t>
            </w:r>
          </w:p>
          <w:p w14:paraId="44E6ED2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老年女性输卵管也会出现萎缩，管腔变细，黏膜皱襞减少，输卵管的蠕动功能减弱。这些 变化使得输卵管在输送卵子、精子以及受精卵等方面的功能基本丧失。</w:t>
            </w:r>
          </w:p>
          <w:p w14:paraId="0E95134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子宫</w:t>
            </w:r>
            <w:r>
              <w:rPr>
                <w:rFonts w:hint="eastAsia" w:ascii="宋体" w:hAnsi="宋体" w:cs="宋体"/>
                <w:b w:val="0"/>
                <w:bCs/>
                <w:color w:val="000000"/>
                <w:kern w:val="2"/>
                <w:sz w:val="24"/>
                <w:szCs w:val="24"/>
                <w:lang w:val="en-US" w:eastAsia="zh-CN" w:bidi="ar"/>
              </w:rPr>
              <w:t xml:space="preserve"> </w:t>
            </w:r>
            <w:r>
              <w:rPr>
                <w:rFonts w:hint="eastAsia" w:ascii="宋体" w:hAnsi="宋体" w:eastAsia="宋体" w:cs="宋体"/>
                <w:b w:val="0"/>
                <w:bCs/>
                <w:color w:val="000000"/>
                <w:kern w:val="2"/>
                <w:sz w:val="24"/>
                <w:szCs w:val="24"/>
                <w:lang w:val="en-US" w:eastAsia="zh-CN" w:bidi="ar"/>
              </w:rPr>
              <w:t>为一壁厚腔小的肌性器官，是产生月经和孕育胎儿的场所。其形态、大小、位置及结构会受到年龄、月经周期和妊娠的影响而变化。</w:t>
            </w:r>
          </w:p>
          <w:p w14:paraId="15430E6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（1）形态。成年未孕子宫，呈前后略扁的倒置梨形，长约7～8cm、宽约 4cm、厚约 2～3 cm。由子宫底、子宫体、子宫颈三部分组成（见图 12 -5）。老年女性子宫体积缩小，从约 8cm 缩至 5 cm 以下。子宫底为两侧输卵管子宫口水平以上的圆凸部分。子宫颈为下端细长呈圆柱状的部分。子宫颈下 1/3 伸入阴道内，称为子宫颈阴道部，是炎症和肿瘤的好发部位；上 2/3 位于阴道的上方，称为子宫颈阴道上部。老年女性宫颈萎缩，宫颈口狭窄，鳞柱交界处上移，宫颈涂片取样难度增加。子宫底与子宫颈之间的部分，称为子宫体。子宫体与子宫颈交界处较为狭窄的部分，称为子宫峡。</w:t>
            </w:r>
          </w:p>
          <w:p w14:paraId="51C34DE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绝经后子宫体萎缩较宫颈明显，宫体与宫颈的比例由性成熟期的2∶1 恢复至婴幼儿时期的1∶2。</w:t>
            </w:r>
          </w:p>
          <w:p w14:paraId="4BE9BE0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子宫的内腔狭窄，分为上下两部分：①上部由子宫底和子宫体围成，称为子宫腔，呈倒置三 角形。②下部在子宫颈内，称为子宫颈管，呈梭形。上口通子宫腔，下口通阴道。未产妇的子宫 口呈圆形，经产妇子宫口为横裂状。老年女性的宫腔变窄。</w:t>
            </w:r>
          </w:p>
          <w:p w14:paraId="592DFDC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位置。子宫位于骨盆腔的中央，在膀胱和直肠之间。正常成年女子的子宫呈前倾前屈位。</w:t>
            </w:r>
          </w:p>
          <w:p w14:paraId="66620EC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固定装置。子宫正常位置和姿势主要依靠 4 对韧带维持，盆底肌和周围的结缔组织对其 固定也有很大作用。</w:t>
            </w:r>
          </w:p>
          <w:tbl>
            <w:tblPr>
              <w:tblStyle w:val="32"/>
              <w:tblpPr w:leftFromText="180" w:rightFromText="180" w:vertAnchor="text" w:horzAnchor="page" w:tblpX="267" w:tblpY="635"/>
              <w:tblOverlap w:val="never"/>
              <w:tblW w:w="9224" w:type="dxa"/>
              <w:tblInd w:w="0" w:type="dxa"/>
              <w:tblBorders>
                <w:top w:val="single" w:color="00AEEF" w:sz="2" w:space="0"/>
                <w:left w:val="single" w:color="00AEEF" w:sz="2" w:space="0"/>
                <w:bottom w:val="single" w:color="00AEEF" w:sz="2" w:space="0"/>
                <w:right w:val="single" w:color="00AEEF" w:sz="2" w:space="0"/>
                <w:insideH w:val="single" w:color="00AEEF" w:sz="2" w:space="0"/>
                <w:insideV w:val="single" w:color="00AEEF" w:sz="2" w:space="0"/>
              </w:tblBorders>
              <w:tblLayout w:type="fixed"/>
              <w:tblCellMar>
                <w:top w:w="0" w:type="dxa"/>
                <w:left w:w="0" w:type="dxa"/>
                <w:bottom w:w="0" w:type="dxa"/>
                <w:right w:w="0" w:type="dxa"/>
              </w:tblCellMar>
            </w:tblPr>
            <w:tblGrid>
              <w:gridCol w:w="1849"/>
              <w:gridCol w:w="1842"/>
              <w:gridCol w:w="1842"/>
              <w:gridCol w:w="1842"/>
              <w:gridCol w:w="1849"/>
            </w:tblGrid>
            <w:tr w14:paraId="73D3E86C">
              <w:tblPrEx>
                <w:tblBorders>
                  <w:top w:val="single" w:color="00AEEF" w:sz="2" w:space="0"/>
                  <w:left w:val="single" w:color="00AEEF" w:sz="2" w:space="0"/>
                  <w:bottom w:val="single" w:color="00AEEF" w:sz="2" w:space="0"/>
                  <w:right w:val="single" w:color="00AEEF" w:sz="2" w:space="0"/>
                  <w:insideH w:val="single" w:color="00AEEF" w:sz="2" w:space="0"/>
                  <w:insideV w:val="single" w:color="00AEEF" w:sz="2" w:space="0"/>
                </w:tblBorders>
                <w:tblCellMar>
                  <w:top w:w="0" w:type="dxa"/>
                  <w:left w:w="0" w:type="dxa"/>
                  <w:bottom w:w="0" w:type="dxa"/>
                  <w:right w:w="0" w:type="dxa"/>
                </w:tblCellMar>
              </w:tblPrEx>
              <w:trPr>
                <w:trHeight w:val="340" w:hRule="atLeast"/>
              </w:trPr>
              <w:tc>
                <w:tcPr>
                  <w:tcW w:w="1849" w:type="dxa"/>
                  <w:tcBorders>
                    <w:top w:val="single" w:color="00AEEF" w:sz="6" w:space="0"/>
                    <w:left w:val="single" w:color="00AEEF" w:sz="6" w:space="0"/>
                  </w:tcBorders>
                  <w:shd w:val="clear" w:color="auto" w:fill="C6EAFA"/>
                  <w:vAlign w:val="top"/>
                </w:tcPr>
                <w:p w14:paraId="5DD5DBE8">
                  <w:pPr>
                    <w:spacing w:before="70" w:line="201" w:lineRule="auto"/>
                    <w:ind w:left="742"/>
                    <w:rPr>
                      <w:rFonts w:ascii="微软雅黑" w:hAnsi="微软雅黑" w:eastAsia="微软雅黑" w:cs="微软雅黑"/>
                      <w:sz w:val="18"/>
                      <w:szCs w:val="18"/>
                    </w:rPr>
                  </w:pPr>
                  <w:r>
                    <w:rPr>
                      <w:rFonts w:ascii="微软雅黑" w:hAnsi="微软雅黑" w:eastAsia="微软雅黑" w:cs="微软雅黑"/>
                      <w:color w:val="231F20"/>
                      <w:spacing w:val="-2"/>
                      <w:sz w:val="18"/>
                      <w:szCs w:val="18"/>
                    </w:rPr>
                    <w:t>名称</w:t>
                  </w:r>
                </w:p>
              </w:tc>
              <w:tc>
                <w:tcPr>
                  <w:tcW w:w="1842" w:type="dxa"/>
                  <w:tcBorders>
                    <w:top w:val="single" w:color="00AEEF" w:sz="6" w:space="0"/>
                  </w:tcBorders>
                  <w:shd w:val="clear" w:color="auto" w:fill="C6EAFA"/>
                  <w:vAlign w:val="top"/>
                </w:tcPr>
                <w:p w14:paraId="4EC5E15C">
                  <w:pPr>
                    <w:spacing w:before="70" w:line="201" w:lineRule="auto"/>
                    <w:ind w:left="739"/>
                    <w:rPr>
                      <w:rFonts w:ascii="微软雅黑" w:hAnsi="微软雅黑" w:eastAsia="微软雅黑" w:cs="微软雅黑"/>
                      <w:sz w:val="18"/>
                      <w:szCs w:val="18"/>
                    </w:rPr>
                  </w:pPr>
                  <w:r>
                    <w:rPr>
                      <w:rFonts w:ascii="微软雅黑" w:hAnsi="微软雅黑" w:eastAsia="微软雅黑" w:cs="微软雅黑"/>
                      <w:color w:val="231F20"/>
                      <w:spacing w:val="-1"/>
                      <w:sz w:val="18"/>
                      <w:szCs w:val="18"/>
                    </w:rPr>
                    <w:t>构成</w:t>
                  </w:r>
                </w:p>
              </w:tc>
              <w:tc>
                <w:tcPr>
                  <w:tcW w:w="1842" w:type="dxa"/>
                  <w:tcBorders>
                    <w:top w:val="single" w:color="00AEEF" w:sz="6" w:space="0"/>
                  </w:tcBorders>
                  <w:shd w:val="clear" w:color="auto" w:fill="C6EAFA"/>
                  <w:vAlign w:val="top"/>
                </w:tcPr>
                <w:p w14:paraId="7EFDCCC0">
                  <w:pPr>
                    <w:spacing w:before="69" w:line="202" w:lineRule="auto"/>
                    <w:ind w:left="743"/>
                    <w:rPr>
                      <w:rFonts w:ascii="微软雅黑" w:hAnsi="微软雅黑" w:eastAsia="微软雅黑" w:cs="微软雅黑"/>
                      <w:sz w:val="18"/>
                      <w:szCs w:val="18"/>
                    </w:rPr>
                  </w:pPr>
                  <w:r>
                    <w:rPr>
                      <w:rFonts w:ascii="微软雅黑" w:hAnsi="微软雅黑" w:eastAsia="微软雅黑" w:cs="微软雅黑"/>
                      <w:color w:val="231F20"/>
                      <w:spacing w:val="-2"/>
                      <w:sz w:val="18"/>
                      <w:szCs w:val="18"/>
                    </w:rPr>
                    <w:t>起点</w:t>
                  </w:r>
                </w:p>
              </w:tc>
              <w:tc>
                <w:tcPr>
                  <w:tcW w:w="1842" w:type="dxa"/>
                  <w:tcBorders>
                    <w:top w:val="single" w:color="00AEEF" w:sz="6" w:space="0"/>
                  </w:tcBorders>
                  <w:shd w:val="clear" w:color="auto" w:fill="C6EAFA"/>
                  <w:vAlign w:val="top"/>
                </w:tcPr>
                <w:p w14:paraId="5B16F414">
                  <w:pPr>
                    <w:spacing w:before="70" w:line="202" w:lineRule="auto"/>
                    <w:ind w:left="747"/>
                    <w:rPr>
                      <w:rFonts w:ascii="微软雅黑" w:hAnsi="微软雅黑" w:eastAsia="微软雅黑" w:cs="微软雅黑"/>
                      <w:sz w:val="18"/>
                      <w:szCs w:val="18"/>
                    </w:rPr>
                  </w:pPr>
                  <w:r>
                    <w:rPr>
                      <w:rFonts w:ascii="微软雅黑" w:hAnsi="微软雅黑" w:eastAsia="微软雅黑" w:cs="微软雅黑"/>
                      <w:color w:val="231F20"/>
                      <w:spacing w:val="-2"/>
                      <w:sz w:val="18"/>
                      <w:szCs w:val="18"/>
                    </w:rPr>
                    <w:t>止点</w:t>
                  </w:r>
                </w:p>
              </w:tc>
              <w:tc>
                <w:tcPr>
                  <w:tcW w:w="1849" w:type="dxa"/>
                  <w:tcBorders>
                    <w:top w:val="single" w:color="00AEEF" w:sz="6" w:space="0"/>
                    <w:right w:val="single" w:color="00AEEF" w:sz="6" w:space="0"/>
                  </w:tcBorders>
                  <w:shd w:val="clear" w:color="auto" w:fill="C6EAFA"/>
                  <w:vAlign w:val="top"/>
                </w:tcPr>
                <w:p w14:paraId="2E1E606D">
                  <w:pPr>
                    <w:spacing w:before="69" w:line="202" w:lineRule="auto"/>
                    <w:ind w:left="753"/>
                    <w:rPr>
                      <w:rFonts w:ascii="微软雅黑" w:hAnsi="微软雅黑" w:eastAsia="微软雅黑" w:cs="微软雅黑"/>
                      <w:sz w:val="18"/>
                      <w:szCs w:val="18"/>
                    </w:rPr>
                  </w:pPr>
                  <w:r>
                    <w:rPr>
                      <w:rFonts w:ascii="微软雅黑" w:hAnsi="微软雅黑" w:eastAsia="微软雅黑" w:cs="微软雅黑"/>
                      <w:color w:val="231F20"/>
                      <w:spacing w:val="-3"/>
                      <w:sz w:val="18"/>
                      <w:szCs w:val="18"/>
                    </w:rPr>
                    <w:t>功能</w:t>
                  </w:r>
                </w:p>
              </w:tc>
            </w:tr>
            <w:tr w14:paraId="22510D7E">
              <w:tblPrEx>
                <w:tblBorders>
                  <w:top w:val="single" w:color="00AEEF" w:sz="2" w:space="0"/>
                  <w:left w:val="single" w:color="00AEEF" w:sz="2" w:space="0"/>
                  <w:bottom w:val="single" w:color="00AEEF" w:sz="2" w:space="0"/>
                  <w:right w:val="single" w:color="00AEEF" w:sz="2" w:space="0"/>
                  <w:insideH w:val="single" w:color="00AEEF" w:sz="2" w:space="0"/>
                  <w:insideV w:val="single" w:color="00AEEF" w:sz="2" w:space="0"/>
                </w:tblBorders>
                <w:tblCellMar>
                  <w:top w:w="0" w:type="dxa"/>
                  <w:left w:w="0" w:type="dxa"/>
                  <w:bottom w:w="0" w:type="dxa"/>
                  <w:right w:w="0" w:type="dxa"/>
                </w:tblCellMar>
              </w:tblPrEx>
              <w:trPr>
                <w:trHeight w:val="342" w:hRule="atLeast"/>
              </w:trPr>
              <w:tc>
                <w:tcPr>
                  <w:tcW w:w="1849" w:type="dxa"/>
                  <w:tcBorders>
                    <w:left w:val="single" w:color="00AEEF" w:sz="6" w:space="0"/>
                  </w:tcBorders>
                  <w:vAlign w:val="top"/>
                </w:tcPr>
                <w:p w14:paraId="168733FD">
                  <w:pPr>
                    <w:pStyle w:val="33"/>
                    <w:spacing w:before="80" w:line="237" w:lineRule="auto"/>
                    <w:ind w:left="479"/>
                  </w:pPr>
                  <w:r>
                    <w:rPr>
                      <w:color w:val="231F20"/>
                      <w:spacing w:val="-3"/>
                    </w:rPr>
                    <w:t>子宫阔韧带</w:t>
                  </w:r>
                </w:p>
              </w:tc>
              <w:tc>
                <w:tcPr>
                  <w:tcW w:w="1842" w:type="dxa"/>
                  <w:vAlign w:val="top"/>
                </w:tcPr>
                <w:p w14:paraId="4B4B5824">
                  <w:pPr>
                    <w:pStyle w:val="33"/>
                    <w:spacing w:before="80"/>
                    <w:ind w:left="566"/>
                  </w:pPr>
                  <w:r>
                    <w:rPr>
                      <w:color w:val="231F20"/>
                      <w:spacing w:val="-2"/>
                    </w:rPr>
                    <w:t>双层腹膜</w:t>
                  </w:r>
                </w:p>
              </w:tc>
              <w:tc>
                <w:tcPr>
                  <w:tcW w:w="1842" w:type="dxa"/>
                  <w:vAlign w:val="top"/>
                </w:tcPr>
                <w:p w14:paraId="6025F77C">
                  <w:pPr>
                    <w:pStyle w:val="33"/>
                    <w:spacing w:before="80"/>
                    <w:ind w:left="573"/>
                  </w:pPr>
                  <w:r>
                    <w:rPr>
                      <w:color w:val="231F20"/>
                      <w:spacing w:val="-3"/>
                    </w:rPr>
                    <w:t>子宫两侧</w:t>
                  </w:r>
                </w:p>
              </w:tc>
              <w:tc>
                <w:tcPr>
                  <w:tcW w:w="1842" w:type="dxa"/>
                  <w:vAlign w:val="top"/>
                </w:tcPr>
                <w:p w14:paraId="05BEE2A2">
                  <w:pPr>
                    <w:pStyle w:val="33"/>
                    <w:spacing w:before="80"/>
                    <w:ind w:left="577"/>
                  </w:pPr>
                  <w:r>
                    <w:rPr>
                      <w:color w:val="231F20"/>
                      <w:spacing w:val="-3"/>
                    </w:rPr>
                    <w:t>盆腔侧壁</w:t>
                  </w:r>
                </w:p>
              </w:tc>
              <w:tc>
                <w:tcPr>
                  <w:tcW w:w="1849" w:type="dxa"/>
                  <w:tcBorders>
                    <w:right w:val="single" w:color="00AEEF" w:sz="6" w:space="0"/>
                  </w:tcBorders>
                  <w:vAlign w:val="top"/>
                </w:tcPr>
                <w:p w14:paraId="365825D4">
                  <w:pPr>
                    <w:pStyle w:val="33"/>
                    <w:spacing w:before="80" w:line="238" w:lineRule="auto"/>
                    <w:ind w:left="231"/>
                  </w:pPr>
                  <w:r>
                    <w:rPr>
                      <w:color w:val="231F20"/>
                      <w:spacing w:val="-3"/>
                    </w:rPr>
                    <w:t>限制子宫向两侧移</w:t>
                  </w:r>
                </w:p>
              </w:tc>
            </w:tr>
            <w:tr w14:paraId="3DD3FD00">
              <w:tblPrEx>
                <w:tblBorders>
                  <w:top w:val="single" w:color="00AEEF" w:sz="2" w:space="0"/>
                  <w:left w:val="single" w:color="00AEEF" w:sz="2" w:space="0"/>
                  <w:bottom w:val="single" w:color="00AEEF" w:sz="2" w:space="0"/>
                  <w:right w:val="single" w:color="00AEEF" w:sz="2" w:space="0"/>
                  <w:insideH w:val="single" w:color="00AEEF" w:sz="2" w:space="0"/>
                  <w:insideV w:val="single" w:color="00AEEF" w:sz="2" w:space="0"/>
                </w:tblBorders>
                <w:tblCellMar>
                  <w:top w:w="0" w:type="dxa"/>
                  <w:left w:w="0" w:type="dxa"/>
                  <w:bottom w:w="0" w:type="dxa"/>
                  <w:right w:w="0" w:type="dxa"/>
                </w:tblCellMar>
              </w:tblPrEx>
              <w:trPr>
                <w:trHeight w:val="342" w:hRule="atLeast"/>
              </w:trPr>
              <w:tc>
                <w:tcPr>
                  <w:tcW w:w="1849" w:type="dxa"/>
                  <w:tcBorders>
                    <w:left w:val="single" w:color="00AEEF" w:sz="6" w:space="0"/>
                  </w:tcBorders>
                  <w:vAlign w:val="top"/>
                </w:tcPr>
                <w:p w14:paraId="14675564">
                  <w:pPr>
                    <w:pStyle w:val="33"/>
                    <w:spacing w:before="83" w:line="237" w:lineRule="auto"/>
                    <w:ind w:left="479"/>
                  </w:pPr>
                  <w:r>
                    <w:rPr>
                      <w:color w:val="231F20"/>
                      <w:spacing w:val="-3"/>
                    </w:rPr>
                    <w:t>子宫圆韧带</w:t>
                  </w:r>
                </w:p>
              </w:tc>
              <w:tc>
                <w:tcPr>
                  <w:tcW w:w="1842" w:type="dxa"/>
                  <w:vAlign w:val="top"/>
                </w:tcPr>
                <w:p w14:paraId="4C6AF72E">
                  <w:pPr>
                    <w:pStyle w:val="33"/>
                    <w:spacing w:before="83" w:line="239" w:lineRule="auto"/>
                    <w:ind w:left="205"/>
                  </w:pPr>
                  <w:r>
                    <w:rPr>
                      <w:color w:val="231F20"/>
                      <w:spacing w:val="-2"/>
                    </w:rPr>
                    <w:t>平滑肌和结缔组织</w:t>
                  </w:r>
                </w:p>
              </w:tc>
              <w:tc>
                <w:tcPr>
                  <w:tcW w:w="1842" w:type="dxa"/>
                  <w:vAlign w:val="top"/>
                </w:tcPr>
                <w:p w14:paraId="07F5FE61">
                  <w:pPr>
                    <w:pStyle w:val="33"/>
                    <w:spacing w:before="83" w:line="239" w:lineRule="auto"/>
                    <w:ind w:left="483"/>
                  </w:pPr>
                  <w:r>
                    <w:rPr>
                      <w:color w:val="231F20"/>
                      <w:spacing w:val="-3"/>
                    </w:rPr>
                    <w:t>子宫角下方</w:t>
                  </w:r>
                </w:p>
              </w:tc>
              <w:tc>
                <w:tcPr>
                  <w:tcW w:w="1842" w:type="dxa"/>
                  <w:vAlign w:val="top"/>
                </w:tcPr>
                <w:p w14:paraId="71D27E6C">
                  <w:pPr>
                    <w:pStyle w:val="33"/>
                    <w:spacing w:before="83" w:line="238" w:lineRule="auto"/>
                    <w:ind w:left="234"/>
                  </w:pPr>
                  <w:r>
                    <w:rPr>
                      <w:color w:val="231F20"/>
                      <w:spacing w:val="-4"/>
                    </w:rPr>
                    <w:t>阴阜和大阴唇皮下</w:t>
                  </w:r>
                </w:p>
              </w:tc>
              <w:tc>
                <w:tcPr>
                  <w:tcW w:w="1849" w:type="dxa"/>
                  <w:tcBorders>
                    <w:right w:val="single" w:color="00AEEF" w:sz="6" w:space="0"/>
                  </w:tcBorders>
                  <w:vAlign w:val="top"/>
                </w:tcPr>
                <w:p w14:paraId="45E9FF63">
                  <w:pPr>
                    <w:pStyle w:val="33"/>
                    <w:spacing w:before="83" w:line="238" w:lineRule="auto"/>
                    <w:ind w:left="309"/>
                  </w:pPr>
                  <w:r>
                    <w:rPr>
                      <w:color w:val="231F20"/>
                      <w:spacing w:val="-2"/>
                    </w:rPr>
                    <w:t>维持子宫前倾位</w:t>
                  </w:r>
                </w:p>
              </w:tc>
            </w:tr>
            <w:tr w14:paraId="2CBDD383">
              <w:tblPrEx>
                <w:tblBorders>
                  <w:top w:val="single" w:color="00AEEF" w:sz="2" w:space="0"/>
                  <w:left w:val="single" w:color="00AEEF" w:sz="2" w:space="0"/>
                  <w:bottom w:val="single" w:color="00AEEF" w:sz="2" w:space="0"/>
                  <w:right w:val="single" w:color="00AEEF" w:sz="2" w:space="0"/>
                  <w:insideH w:val="single" w:color="00AEEF" w:sz="2" w:space="0"/>
                  <w:insideV w:val="single" w:color="00AEEF" w:sz="2" w:space="0"/>
                </w:tblBorders>
              </w:tblPrEx>
              <w:trPr>
                <w:trHeight w:val="342" w:hRule="atLeast"/>
              </w:trPr>
              <w:tc>
                <w:tcPr>
                  <w:tcW w:w="1849" w:type="dxa"/>
                  <w:tcBorders>
                    <w:left w:val="single" w:color="00AEEF" w:sz="6" w:space="0"/>
                  </w:tcBorders>
                  <w:vAlign w:val="top"/>
                </w:tcPr>
                <w:p w14:paraId="417EA110">
                  <w:pPr>
                    <w:pStyle w:val="33"/>
                    <w:spacing w:before="86" w:line="237" w:lineRule="auto"/>
                    <w:ind w:left="479"/>
                  </w:pPr>
                  <w:r>
                    <w:rPr>
                      <w:color w:val="231F20"/>
                      <w:spacing w:val="-3"/>
                    </w:rPr>
                    <w:t>子宫主韧带</w:t>
                  </w:r>
                </w:p>
              </w:tc>
              <w:tc>
                <w:tcPr>
                  <w:tcW w:w="1842" w:type="dxa"/>
                  <w:vAlign w:val="top"/>
                </w:tcPr>
                <w:p w14:paraId="4190E734">
                  <w:pPr>
                    <w:pStyle w:val="33"/>
                    <w:spacing w:before="86" w:line="239" w:lineRule="auto"/>
                    <w:ind w:left="205"/>
                  </w:pPr>
                  <w:r>
                    <w:rPr>
                      <w:color w:val="231F20"/>
                      <w:spacing w:val="-2"/>
                    </w:rPr>
                    <w:t>平滑肌和结缔组织</w:t>
                  </w:r>
                </w:p>
              </w:tc>
              <w:tc>
                <w:tcPr>
                  <w:tcW w:w="1842" w:type="dxa"/>
                  <w:vAlign w:val="top"/>
                </w:tcPr>
                <w:p w14:paraId="6308A2FD">
                  <w:pPr>
                    <w:pStyle w:val="33"/>
                    <w:spacing w:before="86"/>
                    <w:ind w:left="483"/>
                  </w:pPr>
                  <w:r>
                    <w:rPr>
                      <w:color w:val="231F20"/>
                      <w:spacing w:val="-3"/>
                    </w:rPr>
                    <w:t>子宫颈两侧</w:t>
                  </w:r>
                </w:p>
              </w:tc>
              <w:tc>
                <w:tcPr>
                  <w:tcW w:w="1842" w:type="dxa"/>
                  <w:vAlign w:val="top"/>
                </w:tcPr>
                <w:p w14:paraId="279786AB">
                  <w:pPr>
                    <w:pStyle w:val="33"/>
                    <w:spacing w:before="87"/>
                    <w:ind w:left="577"/>
                  </w:pPr>
                  <w:r>
                    <w:rPr>
                      <w:color w:val="231F20"/>
                      <w:spacing w:val="-3"/>
                    </w:rPr>
                    <w:t>盆腔侧壁</w:t>
                  </w:r>
                </w:p>
              </w:tc>
              <w:tc>
                <w:tcPr>
                  <w:tcW w:w="1849" w:type="dxa"/>
                  <w:tcBorders>
                    <w:right w:val="single" w:color="00AEEF" w:sz="6" w:space="0"/>
                  </w:tcBorders>
                  <w:vAlign w:val="top"/>
                </w:tcPr>
                <w:p w14:paraId="4A9C0DC6">
                  <w:pPr>
                    <w:pStyle w:val="33"/>
                    <w:spacing w:before="86"/>
                    <w:ind w:left="412"/>
                  </w:pPr>
                  <w:r>
                    <w:rPr>
                      <w:color w:val="231F20"/>
                      <w:spacing w:val="-4"/>
                    </w:rPr>
                    <w:t>防止子宫脱垂</w:t>
                  </w:r>
                </w:p>
              </w:tc>
            </w:tr>
            <w:tr w14:paraId="2DC61E02">
              <w:tblPrEx>
                <w:tblBorders>
                  <w:top w:val="single" w:color="00AEEF" w:sz="2" w:space="0"/>
                  <w:left w:val="single" w:color="00AEEF" w:sz="2" w:space="0"/>
                  <w:bottom w:val="single" w:color="00AEEF" w:sz="2" w:space="0"/>
                  <w:right w:val="single" w:color="00AEEF" w:sz="2" w:space="0"/>
                  <w:insideH w:val="single" w:color="00AEEF" w:sz="2" w:space="0"/>
                  <w:insideV w:val="single" w:color="00AEEF" w:sz="2" w:space="0"/>
                </w:tblBorders>
                <w:tblCellMar>
                  <w:top w:w="0" w:type="dxa"/>
                  <w:left w:w="0" w:type="dxa"/>
                  <w:bottom w:w="0" w:type="dxa"/>
                  <w:right w:w="0" w:type="dxa"/>
                </w:tblCellMar>
              </w:tblPrEx>
              <w:trPr>
                <w:trHeight w:val="349" w:hRule="atLeast"/>
              </w:trPr>
              <w:tc>
                <w:tcPr>
                  <w:tcW w:w="1849" w:type="dxa"/>
                  <w:tcBorders>
                    <w:left w:val="single" w:color="00AEEF" w:sz="6" w:space="0"/>
                    <w:bottom w:val="single" w:color="00AEEF" w:sz="6" w:space="0"/>
                  </w:tcBorders>
                  <w:vAlign w:val="top"/>
                </w:tcPr>
                <w:p w14:paraId="03946429">
                  <w:pPr>
                    <w:pStyle w:val="33"/>
                    <w:spacing w:before="89" w:line="237" w:lineRule="auto"/>
                    <w:ind w:left="479"/>
                  </w:pPr>
                  <w:r>
                    <w:rPr>
                      <w:color w:val="231F20"/>
                      <w:spacing w:val="-3"/>
                    </w:rPr>
                    <w:t>子宫骶韧带</w:t>
                  </w:r>
                </w:p>
              </w:tc>
              <w:tc>
                <w:tcPr>
                  <w:tcW w:w="1842" w:type="dxa"/>
                  <w:tcBorders>
                    <w:bottom w:val="single" w:color="00AEEF" w:sz="6" w:space="0"/>
                  </w:tcBorders>
                  <w:vAlign w:val="top"/>
                </w:tcPr>
                <w:p w14:paraId="6920AC02">
                  <w:pPr>
                    <w:pStyle w:val="33"/>
                    <w:spacing w:before="89" w:line="239" w:lineRule="auto"/>
                    <w:ind w:left="205"/>
                  </w:pPr>
                  <w:r>
                    <w:rPr>
                      <w:color w:val="231F20"/>
                      <w:spacing w:val="-2"/>
                    </w:rPr>
                    <w:t>平滑肌和结缔组织</w:t>
                  </w:r>
                </w:p>
              </w:tc>
              <w:tc>
                <w:tcPr>
                  <w:tcW w:w="1842" w:type="dxa"/>
                  <w:tcBorders>
                    <w:bottom w:val="single" w:color="00AEEF" w:sz="6" w:space="0"/>
                  </w:tcBorders>
                  <w:vAlign w:val="top"/>
                </w:tcPr>
                <w:p w14:paraId="2439FA45">
                  <w:pPr>
                    <w:pStyle w:val="33"/>
                    <w:spacing w:before="89"/>
                    <w:ind w:left="483"/>
                  </w:pPr>
                  <w:r>
                    <w:rPr>
                      <w:color w:val="231F20"/>
                      <w:spacing w:val="-3"/>
                    </w:rPr>
                    <w:t>子宫颈后面</w:t>
                  </w:r>
                </w:p>
              </w:tc>
              <w:tc>
                <w:tcPr>
                  <w:tcW w:w="1842" w:type="dxa"/>
                  <w:tcBorders>
                    <w:bottom w:val="single" w:color="00AEEF" w:sz="6" w:space="0"/>
                  </w:tcBorders>
                  <w:vAlign w:val="top"/>
                </w:tcPr>
                <w:p w14:paraId="38957163">
                  <w:pPr>
                    <w:pStyle w:val="33"/>
                    <w:spacing w:before="90" w:line="238" w:lineRule="auto"/>
                    <w:ind w:left="575"/>
                  </w:pPr>
                  <w:r>
                    <w:rPr>
                      <w:color w:val="231F20"/>
                      <w:spacing w:val="-3"/>
                    </w:rPr>
                    <w:t>骶骨前面</w:t>
                  </w:r>
                </w:p>
              </w:tc>
              <w:tc>
                <w:tcPr>
                  <w:tcW w:w="1849" w:type="dxa"/>
                  <w:tcBorders>
                    <w:bottom w:val="single" w:color="00AEEF" w:sz="6" w:space="0"/>
                    <w:right w:val="single" w:color="00AEEF" w:sz="6" w:space="0"/>
                  </w:tcBorders>
                  <w:vAlign w:val="top"/>
                </w:tcPr>
                <w:p w14:paraId="5E61BB26">
                  <w:pPr>
                    <w:pStyle w:val="33"/>
                    <w:spacing w:before="90" w:line="238" w:lineRule="auto"/>
                    <w:ind w:left="309"/>
                  </w:pPr>
                  <w:r>
                    <w:rPr>
                      <w:color w:val="231F20"/>
                      <w:spacing w:val="-2"/>
                    </w:rPr>
                    <w:t>维持子宫前屈位</w:t>
                  </w:r>
                </w:p>
              </w:tc>
            </w:tr>
          </w:tbl>
          <w:p w14:paraId="681447E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阴道   为前后略扁的肌性管道，是女性的性交器官，也是排出月经和娩出胎儿的通道。 阴道下端以阴道口开口于阴道前庭，上端较宽，呈穹窿状包绕子宫颈阴道部，在子宫颈周围形成 环状间隙，称为阴道穹窿</w:t>
            </w:r>
            <w:r>
              <w:rPr>
                <w:rFonts w:hint="eastAsia" w:ascii="宋体" w:hAnsi="宋体" w:cs="宋体"/>
                <w:b w:val="0"/>
                <w:bCs/>
                <w:color w:val="000000"/>
                <w:kern w:val="2"/>
                <w:sz w:val="24"/>
                <w:szCs w:val="24"/>
                <w:lang w:val="en-US" w:eastAsia="zh-CN" w:bidi="ar"/>
              </w:rPr>
              <w:t>，</w:t>
            </w:r>
            <w:r>
              <w:rPr>
                <w:rFonts w:hint="eastAsia" w:ascii="宋体" w:hAnsi="宋体" w:eastAsia="宋体" w:cs="宋体"/>
                <w:b w:val="0"/>
                <w:bCs/>
                <w:color w:val="000000"/>
                <w:kern w:val="2"/>
                <w:sz w:val="24"/>
                <w:szCs w:val="24"/>
                <w:lang w:val="en-US" w:eastAsia="zh-CN" w:bidi="ar"/>
              </w:rPr>
              <w:t>其中后穹最深，当直肠子宫陷凹有积液或积血时，可经阴道后穹窿进行 穿刺和引流。老年女性由于雌激素水平下降，阴道壁变薄，皱襞减少，弹性降低，分泌物减少， 同时阴道 pH 升高，局部抵抗力下降。此外，由于盆底支持结构松弛，老年女性可能出现阴道脱垂。</w:t>
            </w:r>
          </w:p>
          <w:p w14:paraId="5F998C3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（三）前庭大腺</w:t>
            </w:r>
          </w:p>
          <w:p w14:paraId="2013E50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前庭大腺又称为巴氏腺，如黄豆大小，左右各一，位于大阴唇后部。其导管开口于阴道口 小阴唇之间的沟内，相当于小阴唇中、后 1/3 的交界处。分泌物有润滑阴道口作用，如因感染导致腺管口闭塞，可形成前庭大腺囊肿。</w:t>
            </w:r>
          </w:p>
          <w:p w14:paraId="41310B5C">
            <w:pPr>
              <w:keepNext w:val="0"/>
              <w:keepLines w:val="0"/>
              <w:widowControl w:val="0"/>
              <w:numPr>
                <w:ilvl w:val="0"/>
                <w:numId w:val="4"/>
              </w:numPr>
              <w:suppressLineNumbers w:val="0"/>
              <w:spacing w:before="0" w:beforeAutospacing="0" w:after="0" w:afterAutospacing="0" w:line="360" w:lineRule="auto"/>
              <w:ind w:left="0" w:leftChars="0" w:right="0" w:firstLine="0" w:firstLineChars="0"/>
              <w:jc w:val="both"/>
              <w:rPr>
                <w:rFonts w:hint="default" w:ascii="Times New Roman" w:hAnsi="Times New Roman"/>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54341E0B">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p>
          <w:p w14:paraId="25BC5D47">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p>
          <w:p w14:paraId="3FD8F549">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p>
          <w:p w14:paraId="2605468D">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p>
          <w:p w14:paraId="3A642B6E">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p>
          <w:p w14:paraId="46AFD351">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r>
              <w:rPr>
                <w:rFonts w:hint="eastAsia" w:ascii="Times New Roman" w:hAnsi="Times New Roman"/>
                <w:b/>
                <w:sz w:val="24"/>
                <w:szCs w:val="24"/>
              </w:rPr>
              <w:t>通过教师讲解，了解</w:t>
            </w:r>
            <w:r>
              <w:rPr>
                <w:rFonts w:hint="eastAsia" w:ascii="Times New Roman" w:hAnsi="Times New Roman"/>
                <w:b/>
                <w:sz w:val="24"/>
                <w:szCs w:val="24"/>
                <w:lang w:val="en-US" w:eastAsia="zh-CN"/>
              </w:rPr>
              <w:t>男性外生殖器的结构和功能</w:t>
            </w:r>
          </w:p>
          <w:p w14:paraId="24123E37">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12D30EDB">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42287BBB">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51CEF157">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0DBF5ECF">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37748D90">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06052C59">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265FC86B">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2E01D5F0">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6144594C">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0403E50C">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792D352C">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6960958C">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1FF5CBD4">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21B52A9E">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2CF77BC2">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6D3108B8">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3A45D153">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2705A6B4">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637EACBF">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lang w:val="en-US" w:eastAsia="zh-CN"/>
              </w:rPr>
            </w:pPr>
            <w:r>
              <w:rPr>
                <w:rFonts w:hint="eastAsia" w:ascii="Times New Roman" w:hAnsi="Times New Roman"/>
                <w:b/>
                <w:sz w:val="24"/>
                <w:szCs w:val="24"/>
              </w:rPr>
              <w:t>通过教师讲解，了解</w:t>
            </w:r>
            <w:r>
              <w:rPr>
                <w:rFonts w:hint="eastAsia" w:ascii="Times New Roman" w:hAnsi="Times New Roman"/>
                <w:b/>
                <w:sz w:val="24"/>
                <w:szCs w:val="24"/>
                <w:lang w:val="en-US" w:eastAsia="zh-CN"/>
              </w:rPr>
              <w:t>女性内生殖器的结构和功能</w:t>
            </w:r>
          </w:p>
        </w:tc>
      </w:tr>
      <w:tr w14:paraId="6058ACD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FAD15B1">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7269637">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7208" w:type="dxa"/>
            <w:tcBorders>
              <w:tl2br w:val="nil"/>
              <w:tr2bl w:val="nil"/>
            </w:tcBorders>
            <w:vAlign w:val="center"/>
          </w:tcPr>
          <w:p w14:paraId="31EC6E0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2F67E1EC">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男性生殖系统组成和女性内生殖器的组成，让学生知道教学解剖绘图是一种运用形象直观教学法进行的形象化教学</w:t>
            </w:r>
            <w:r>
              <w:rPr>
                <w:rFonts w:hint="eastAsia" w:ascii="宋体" w:hAnsi="宋体" w:eastAsia="宋体" w:cs="宋体"/>
                <w:b/>
                <w:bCs w:val="0"/>
                <w:kern w:val="2"/>
                <w:sz w:val="24"/>
                <w:szCs w:val="24"/>
                <w:lang w:val="en-US" w:eastAsia="zh-CN" w:bidi="ar"/>
              </w:rPr>
              <w:t>。</w:t>
            </w:r>
          </w:p>
        </w:tc>
        <w:tc>
          <w:tcPr>
            <w:tcW w:w="1696" w:type="dxa"/>
            <w:tcBorders>
              <w:tl2br w:val="nil"/>
              <w:tr2bl w:val="nil"/>
            </w:tcBorders>
            <w:vAlign w:val="center"/>
          </w:tcPr>
          <w:p w14:paraId="78F4F9E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5A21E94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5B3C5738">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7208" w:type="dxa"/>
            <w:tcBorders>
              <w:tl2br w:val="nil"/>
              <w:tr2bl w:val="nil"/>
            </w:tcBorders>
            <w:vAlign w:val="center"/>
          </w:tcPr>
          <w:p w14:paraId="6CB3B994">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43A306EC">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default" w:ascii="Calibri" w:hAnsi="宋体" w:eastAsia="宋体" w:cs="Times New Roman"/>
                <w:bCs/>
                <w:kern w:val="2"/>
                <w:sz w:val="24"/>
                <w:szCs w:val="24"/>
                <w:lang w:val="en-US" w:eastAsia="zh-CN" w:bidi="ar-SA"/>
              </w:rPr>
            </w:pPr>
            <w:r>
              <w:rPr>
                <w:rFonts w:hint="eastAsia" w:ascii="宋体" w:hAnsi="宋体" w:cs="宋体"/>
                <w:bCs/>
                <w:kern w:val="2"/>
                <w:sz w:val="24"/>
                <w:szCs w:val="24"/>
                <w:lang w:val="en-US" w:eastAsia="zh-CN" w:bidi="ar"/>
              </w:rPr>
              <w:t>简述女性内生殖器的解剖结构。</w:t>
            </w:r>
          </w:p>
        </w:tc>
        <w:tc>
          <w:tcPr>
            <w:tcW w:w="1696" w:type="dxa"/>
            <w:tcBorders>
              <w:tl2br w:val="nil"/>
              <w:tr2bl w:val="nil"/>
            </w:tcBorders>
            <w:vAlign w:val="center"/>
          </w:tcPr>
          <w:p w14:paraId="481DA14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val="0"/>
                <w:bCs/>
                <w:kern w:val="2"/>
                <w:sz w:val="24"/>
                <w:szCs w:val="24"/>
                <w:lang w:val="en-US" w:eastAsia="zh-CN" w:bidi="ar"/>
              </w:rPr>
              <w:t>通过课后练习，使学生巩固所学新知识</w:t>
            </w:r>
          </w:p>
        </w:tc>
      </w:tr>
      <w:tr w14:paraId="51F038B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C132C0D">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 w:val="24"/>
                <w:szCs w:val="24"/>
              </w:rPr>
              <w:t>（45</w:t>
            </w:r>
            <w:r>
              <w:rPr>
                <w:rFonts w:hint="eastAsia" w:ascii="Times New Roman" w:hAnsi="Times New Roman"/>
                <w:sz w:val="24"/>
                <w:szCs w:val="24"/>
              </w:rPr>
              <w:t>min</w:t>
            </w:r>
            <w:r>
              <w:rPr>
                <w:rFonts w:hint="default" w:ascii="Times New Roman" w:hAnsi="Times New Roman"/>
                <w:sz w:val="24"/>
                <w:szCs w:val="24"/>
              </w:rPr>
              <w:t>）</w:t>
            </w:r>
          </w:p>
        </w:tc>
        <w:tc>
          <w:tcPr>
            <w:tcW w:w="7208" w:type="dxa"/>
            <w:tcBorders>
              <w:tl2br w:val="nil"/>
              <w:tr2bl w:val="nil"/>
            </w:tcBorders>
            <w:vAlign w:val="center"/>
          </w:tcPr>
          <w:p w14:paraId="59E3D783">
            <w:pPr>
              <w:keepNext w:val="0"/>
              <w:keepLines w:val="0"/>
              <w:widowControl/>
              <w:suppressLineNumbers w:val="0"/>
              <w:spacing w:before="0" w:beforeAutospacing="0" w:after="0" w:afterAutospacing="0" w:line="360" w:lineRule="auto"/>
              <w:ind w:left="0" w:right="0"/>
              <w:jc w:val="left"/>
              <w:rPr>
                <w:rFonts w:hint="default" w:ascii="Times New Roman" w:hAnsi="Times New Roman" w:eastAsia="宋体" w:cs="Times New Roman"/>
                <w:b/>
                <w:bCs w:val="0"/>
                <w:color w:val="C00000"/>
                <w:kern w:val="2"/>
                <w:sz w:val="24"/>
                <w:szCs w:val="24"/>
                <w:lang w:val="en-US"/>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w:t>
            </w:r>
            <w:r>
              <w:rPr>
                <w:rFonts w:hint="eastAsia" w:ascii="宋体" w:hAnsi="宋体" w:cs="宋体"/>
                <w:b w:val="0"/>
                <w:bCs/>
                <w:color w:val="C00000"/>
                <w:kern w:val="2"/>
                <w:sz w:val="24"/>
                <w:szCs w:val="24"/>
                <w:lang w:val="en-US" w:eastAsia="zh-CN" w:bidi="ar"/>
              </w:rPr>
              <w:t>女性外生殖器解剖结构和会阴乳房的内容</w:t>
            </w:r>
          </w:p>
          <w:p w14:paraId="33599F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bCs/>
                <w:color w:val="auto"/>
                <w:kern w:val="2"/>
                <w:sz w:val="24"/>
                <w:szCs w:val="24"/>
                <w:lang w:val="en-US" w:eastAsia="zh-CN" w:bidi="ar"/>
              </w:rPr>
            </w:pPr>
            <w:r>
              <w:rPr>
                <w:rFonts w:hint="eastAsia" w:ascii="宋体" w:hAnsi="宋体" w:eastAsia="宋体" w:cs="宋体"/>
                <w:b/>
                <w:bCs/>
                <w:color w:val="auto"/>
                <w:kern w:val="2"/>
                <w:sz w:val="24"/>
                <w:szCs w:val="24"/>
                <w:lang w:val="en-US" w:eastAsia="zh-CN" w:bidi="ar"/>
              </w:rPr>
              <w:t>二、女性外生殖器</w:t>
            </w:r>
          </w:p>
          <w:p w14:paraId="1A5A36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val="0"/>
                <w:color w:val="auto"/>
                <w:kern w:val="2"/>
                <w:sz w:val="24"/>
                <w:szCs w:val="24"/>
                <w:lang w:val="en-US" w:eastAsia="zh-CN" w:bidi="ar"/>
              </w:rPr>
            </w:pPr>
            <w:r>
              <w:rPr>
                <w:rFonts w:hint="eastAsia" w:ascii="宋体" w:hAnsi="宋体" w:eastAsia="宋体" w:cs="宋体"/>
                <w:b w:val="0"/>
                <w:bCs w:val="0"/>
                <w:color w:val="auto"/>
                <w:kern w:val="2"/>
                <w:sz w:val="24"/>
                <w:szCs w:val="24"/>
                <w:lang w:val="en-US" w:eastAsia="zh-CN" w:bidi="ar"/>
              </w:rPr>
              <w:t>女性外生殖器又称为女阴，包括阴阜、大阴唇、小阴唇、阴蒂、阴道前庭等结构。</w:t>
            </w:r>
          </w:p>
          <w:p w14:paraId="1ABDCF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val="0"/>
                <w:color w:val="auto"/>
                <w:kern w:val="2"/>
                <w:sz w:val="24"/>
                <w:szCs w:val="24"/>
                <w:lang w:val="en-US" w:eastAsia="zh-CN" w:bidi="ar"/>
              </w:rPr>
            </w:pPr>
            <w:r>
              <w:rPr>
                <w:rFonts w:hint="eastAsia" w:ascii="宋体" w:hAnsi="宋体" w:eastAsia="宋体" w:cs="宋体"/>
                <w:b w:val="0"/>
                <w:bCs w:val="0"/>
                <w:color w:val="auto"/>
                <w:kern w:val="2"/>
                <w:sz w:val="24"/>
                <w:szCs w:val="24"/>
                <w:lang w:val="en-US" w:eastAsia="zh-CN" w:bidi="ar"/>
              </w:rPr>
              <w:t>阴阜：是耻骨联合前面隆起的脂肪垫，老年女性阴阜自围绝经期开始，上皮变薄，角化增 加，皮下脂肪减少，阴毛短软稀少、变为灰白色并脱落。</w:t>
            </w:r>
          </w:p>
          <w:p w14:paraId="5202FA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val="0"/>
                <w:color w:val="auto"/>
                <w:kern w:val="2"/>
                <w:sz w:val="24"/>
                <w:szCs w:val="24"/>
                <w:lang w:val="en-US" w:eastAsia="zh-CN" w:bidi="ar"/>
              </w:rPr>
            </w:pPr>
            <w:r>
              <w:rPr>
                <w:rFonts w:hint="eastAsia" w:ascii="宋体" w:hAnsi="宋体" w:eastAsia="宋体" w:cs="宋体"/>
                <w:b w:val="0"/>
                <w:bCs w:val="0"/>
                <w:color w:val="auto"/>
                <w:kern w:val="2"/>
                <w:sz w:val="24"/>
                <w:szCs w:val="24"/>
                <w:lang w:val="en-US" w:eastAsia="zh-CN" w:bidi="ar"/>
              </w:rPr>
              <w:t>大阴唇：为两股内侧一对纵行隆起的皮肤皱襞，老年期大阴唇组织松弛，出现皱褶，皮下脂肪及弹力纤维减少，神经血管末梢变细、减少，血液灌注减少。</w:t>
            </w:r>
          </w:p>
          <w:p w14:paraId="681075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val="0"/>
                <w:color w:val="auto"/>
                <w:kern w:val="2"/>
                <w:sz w:val="24"/>
                <w:szCs w:val="24"/>
                <w:lang w:val="en-US" w:eastAsia="zh-CN" w:bidi="ar"/>
              </w:rPr>
            </w:pPr>
            <w:r>
              <w:rPr>
                <w:rFonts w:hint="eastAsia" w:ascii="宋体" w:hAnsi="宋体" w:eastAsia="宋体" w:cs="宋体"/>
                <w:b w:val="0"/>
                <w:bCs w:val="0"/>
                <w:color w:val="auto"/>
                <w:kern w:val="2"/>
                <w:sz w:val="24"/>
                <w:szCs w:val="24"/>
                <w:lang w:val="en-US" w:eastAsia="zh-CN" w:bidi="ar"/>
              </w:rPr>
              <w:t>小阴唇：位于大阴唇内侧，为一对纵形皮肤皱襞，表面湿润，色褐，无毛，富含神经末梢。 老年期小阴唇萎缩缩小，甚至消失。</w:t>
            </w:r>
          </w:p>
          <w:p w14:paraId="0EE02F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val="0"/>
                <w:color w:val="auto"/>
                <w:kern w:val="2"/>
                <w:sz w:val="24"/>
                <w:szCs w:val="24"/>
                <w:lang w:val="en-US" w:eastAsia="zh-CN" w:bidi="ar"/>
              </w:rPr>
            </w:pPr>
            <w:r>
              <w:rPr>
                <w:rFonts w:hint="eastAsia" w:ascii="宋体" w:hAnsi="宋体" w:eastAsia="宋体" w:cs="宋体"/>
                <w:b w:val="0"/>
                <w:bCs w:val="0"/>
                <w:color w:val="auto"/>
                <w:kern w:val="2"/>
                <w:sz w:val="24"/>
                <w:szCs w:val="24"/>
                <w:lang w:val="en-US" w:eastAsia="zh-CN" w:bidi="ar"/>
              </w:rPr>
              <w:t>阴蒂：位于两小阴唇顶端下方，与男性阴茎同源，由海绵体构成，在性兴奋时勃起。老年期 阴蒂缩小，甚至消失。</w:t>
            </w:r>
          </w:p>
          <w:p w14:paraId="2B4434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val="0"/>
                <w:color w:val="auto"/>
                <w:kern w:val="2"/>
                <w:sz w:val="24"/>
                <w:szCs w:val="24"/>
                <w:lang w:val="en-US" w:eastAsia="zh-CN" w:bidi="ar"/>
              </w:rPr>
            </w:pPr>
            <w:r>
              <w:rPr>
                <w:rFonts w:hint="eastAsia" w:ascii="宋体" w:hAnsi="宋体" w:eastAsia="宋体" w:cs="宋体"/>
                <w:b w:val="0"/>
                <w:bCs w:val="0"/>
                <w:color w:val="auto"/>
                <w:kern w:val="2"/>
                <w:sz w:val="24"/>
                <w:szCs w:val="24"/>
                <w:lang w:val="en-US" w:eastAsia="zh-CN" w:bidi="ar"/>
              </w:rPr>
              <w:t>阴道前庭：为两小阴唇之间的菱形区域，前为阴蒂，后为阴唇系带。老年期前庭大腺分泌减 少，导致性交困难；阴道入口萎缩导致尿道开口倒向阴道入口，尿道外口因受萎缩变短的阴道前 壁牵拉，尿道黏膜外翻，易受到阴道内细菌及外来病菌的侵袭。</w:t>
            </w:r>
          </w:p>
          <w:p w14:paraId="552746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color w:val="auto"/>
                <w:kern w:val="2"/>
                <w:sz w:val="24"/>
                <w:szCs w:val="24"/>
                <w:lang w:val="en-US" w:eastAsia="zh-CN" w:bidi="ar"/>
              </w:rPr>
            </w:pPr>
            <w:r>
              <w:rPr>
                <w:rFonts w:hint="eastAsia" w:ascii="宋体" w:hAnsi="宋体" w:eastAsia="宋体" w:cs="宋体"/>
                <w:b/>
                <w:bCs/>
                <w:color w:val="auto"/>
                <w:kern w:val="2"/>
                <w:sz w:val="24"/>
                <w:szCs w:val="24"/>
                <w:lang w:val="en-US" w:eastAsia="zh-CN" w:bidi="ar"/>
              </w:rPr>
              <w:t>三、会阴和乳房</w:t>
            </w:r>
          </w:p>
          <w:p w14:paraId="686658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val="0"/>
                <w:color w:val="auto"/>
                <w:kern w:val="2"/>
                <w:sz w:val="24"/>
                <w:szCs w:val="24"/>
                <w:lang w:val="en-US" w:eastAsia="zh-CN" w:bidi="ar"/>
              </w:rPr>
            </w:pPr>
            <w:r>
              <w:rPr>
                <w:rFonts w:hint="eastAsia" w:ascii="宋体" w:hAnsi="宋体" w:eastAsia="宋体" w:cs="宋体"/>
                <w:b w:val="0"/>
                <w:bCs w:val="0"/>
                <w:color w:val="auto"/>
                <w:kern w:val="2"/>
                <w:sz w:val="24"/>
                <w:szCs w:val="24"/>
                <w:lang w:val="en-US" w:eastAsia="zh-CN" w:bidi="ar"/>
              </w:rPr>
              <w:t>（一）会阴</w:t>
            </w:r>
          </w:p>
          <w:p w14:paraId="11A6F2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val="0"/>
                <w:color w:val="auto"/>
                <w:kern w:val="2"/>
                <w:sz w:val="24"/>
                <w:szCs w:val="24"/>
                <w:lang w:val="en-US" w:eastAsia="zh-CN" w:bidi="ar"/>
              </w:rPr>
            </w:pPr>
            <w:r>
              <w:rPr>
                <w:rFonts w:hint="eastAsia" w:ascii="宋体" w:hAnsi="宋体" w:eastAsia="宋体" w:cs="宋体"/>
                <w:b w:val="0"/>
                <w:bCs w:val="0"/>
                <w:color w:val="auto"/>
                <w:kern w:val="2"/>
                <w:sz w:val="24"/>
                <w:szCs w:val="24"/>
                <w:lang w:val="en-US" w:eastAsia="zh-CN" w:bidi="ar"/>
              </w:rPr>
              <w:t>会阴有狭义会阴和广义会阴之分。狭义的会阴，又称为产科会阴，是指外生殖器与肛门之 间的狭小区域。分娩时易发生撕裂，故应注意保护。广义的会阴是指封闭小骨盆下口的所有软组 织，呈菱形。以两侧坐骨结节连线为界，可将会阴分为前、后两个不在同一平面的三角区：前部 为尿生殖三角，男性有尿道通过，女性有尿道和阴道通过；后部为肛门三角，有肛管通过。</w:t>
            </w:r>
          </w:p>
          <w:p w14:paraId="0BA57A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val="0"/>
                <w:color w:val="auto"/>
                <w:kern w:val="2"/>
                <w:sz w:val="24"/>
                <w:szCs w:val="24"/>
                <w:lang w:val="en-US" w:eastAsia="zh-CN" w:bidi="ar"/>
              </w:rPr>
            </w:pPr>
            <w:r>
              <w:rPr>
                <w:rFonts w:hint="eastAsia" w:ascii="宋体" w:hAnsi="宋体" w:eastAsia="宋体" w:cs="宋体"/>
                <w:b w:val="0"/>
                <w:bCs w:val="0"/>
                <w:color w:val="auto"/>
                <w:kern w:val="2"/>
                <w:sz w:val="24"/>
                <w:szCs w:val="24"/>
                <w:lang w:val="en-US" w:eastAsia="zh-CN" w:bidi="ar"/>
              </w:rPr>
              <w:t>老年女性会阴的皮肤和皮下组织松弛，弹性降低。老年人随着年龄的增长，盆底肌肉会出 现不同程度的萎缩，肌力下降。这可能导致盆底功能障碍，如子宫脱垂、阴道前后壁膨出等， 影 响老年女性的生活质量。</w:t>
            </w:r>
          </w:p>
          <w:p w14:paraId="458112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val="0"/>
                <w:color w:val="auto"/>
                <w:kern w:val="2"/>
                <w:sz w:val="24"/>
                <w:szCs w:val="24"/>
                <w:lang w:val="en-US" w:eastAsia="zh-CN" w:bidi="ar"/>
              </w:rPr>
            </w:pPr>
            <w:r>
              <w:rPr>
                <w:rFonts w:hint="eastAsia" w:ascii="宋体" w:hAnsi="宋体" w:eastAsia="宋体" w:cs="宋体"/>
                <w:b w:val="0"/>
                <w:bCs w:val="0"/>
                <w:color w:val="auto"/>
                <w:kern w:val="2"/>
                <w:sz w:val="24"/>
                <w:szCs w:val="24"/>
                <w:lang w:val="en-US" w:eastAsia="zh-CN" w:bidi="ar"/>
              </w:rPr>
              <w:t>（二）乳房</w:t>
            </w:r>
          </w:p>
          <w:p w14:paraId="6216E3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val="0"/>
                <w:color w:val="auto"/>
                <w:kern w:val="2"/>
                <w:sz w:val="24"/>
                <w:szCs w:val="24"/>
                <w:lang w:val="en-US" w:eastAsia="zh-CN" w:bidi="ar"/>
              </w:rPr>
            </w:pPr>
            <w:r>
              <w:rPr>
                <w:rFonts w:hint="eastAsia" w:ascii="宋体" w:hAnsi="宋体" w:eastAsia="宋体" w:cs="宋体"/>
                <w:b w:val="0"/>
                <w:bCs w:val="0"/>
                <w:color w:val="auto"/>
                <w:kern w:val="2"/>
                <w:sz w:val="24"/>
                <w:szCs w:val="24"/>
                <w:lang w:val="en-US" w:eastAsia="zh-CN" w:bidi="ar"/>
              </w:rPr>
              <w:t>老年女性乳房 萎缩下垂</w:t>
            </w:r>
            <w:r>
              <w:rPr>
                <w:rFonts w:hint="eastAsia" w:ascii="宋体" w:hAnsi="宋体" w:cs="宋体"/>
                <w:b w:val="0"/>
                <w:bCs w:val="0"/>
                <w:color w:val="auto"/>
                <w:kern w:val="2"/>
                <w:sz w:val="24"/>
                <w:szCs w:val="24"/>
                <w:lang w:val="en-US" w:eastAsia="zh-CN" w:bidi="ar"/>
              </w:rPr>
              <w:t>。</w:t>
            </w:r>
          </w:p>
          <w:p w14:paraId="20BC00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val="0"/>
                <w:color w:val="auto"/>
                <w:kern w:val="2"/>
                <w:sz w:val="24"/>
                <w:szCs w:val="24"/>
                <w:lang w:val="en-US" w:eastAsia="zh-CN" w:bidi="ar"/>
              </w:rPr>
            </w:pPr>
            <w:r>
              <w:rPr>
                <w:rFonts w:hint="eastAsia" w:ascii="宋体" w:hAnsi="宋体" w:cs="宋体"/>
                <w:b w:val="0"/>
                <w:bCs w:val="0"/>
                <w:color w:val="auto"/>
                <w:kern w:val="2"/>
                <w:sz w:val="24"/>
                <w:szCs w:val="24"/>
                <w:lang w:val="en-US" w:eastAsia="zh-CN" w:bidi="ar"/>
              </w:rPr>
              <w:t>1.  位置   乳房位于胸大肌及胸筋膜的表面。老年女性乳房的悬韧带等支持结构松弛，使得乳房下垂更加明显。</w:t>
            </w:r>
          </w:p>
          <w:p w14:paraId="1946CC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val="0"/>
                <w:color w:val="auto"/>
                <w:kern w:val="2"/>
                <w:sz w:val="24"/>
                <w:szCs w:val="24"/>
                <w:lang w:val="en-US" w:eastAsia="zh-CN" w:bidi="ar"/>
              </w:rPr>
            </w:pPr>
            <w:r>
              <w:rPr>
                <w:rFonts w:hint="eastAsia" w:ascii="宋体" w:hAnsi="宋体" w:cs="宋体"/>
                <w:b w:val="0"/>
                <w:bCs w:val="0"/>
                <w:color w:val="auto"/>
                <w:kern w:val="2"/>
                <w:sz w:val="24"/>
                <w:szCs w:val="24"/>
                <w:lang w:val="en-US" w:eastAsia="zh-CN" w:bidi="ar"/>
              </w:rPr>
              <w:t>2.  形态   成年未育女性的乳房呈半球形，富有弹性。乳房中央有乳头，其表面有输乳管的开口。乳头周围的皮肤色素较多，形成一环形区域，称为乳晕。老年女性乳房皮肤变得松弛，皱纹增多，弹性减退。乳晕颜色变浅，乳头也可能变得扁平、缩小，外形改变较为显著。</w:t>
            </w:r>
          </w:p>
          <w:p w14:paraId="5DA2BD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val="0"/>
                <w:color w:val="auto"/>
                <w:kern w:val="2"/>
                <w:sz w:val="24"/>
                <w:szCs w:val="24"/>
                <w:lang w:val="en-US" w:eastAsia="zh-CN" w:bidi="ar"/>
              </w:rPr>
            </w:pPr>
            <w:r>
              <w:rPr>
                <w:rFonts w:hint="eastAsia" w:ascii="宋体" w:hAnsi="宋体" w:cs="宋体"/>
                <w:b w:val="0"/>
                <w:bCs w:val="0"/>
                <w:color w:val="auto"/>
                <w:kern w:val="2"/>
                <w:sz w:val="24"/>
                <w:szCs w:val="24"/>
                <w:lang w:val="en-US" w:eastAsia="zh-CN" w:bidi="ar"/>
              </w:rPr>
              <w:t>3.  结构   乳房由皮肤、乳腺、脂肪组织和纤维组织构成。</w:t>
            </w:r>
          </w:p>
          <w:p w14:paraId="682BB4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20B66750">
            <w:pPr>
              <w:keepNext w:val="0"/>
              <w:keepLines w:val="0"/>
              <w:suppressLineNumbers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b/>
                <w:sz w:val="24"/>
                <w:szCs w:val="24"/>
              </w:rPr>
              <w:t>教通过教师讲解，了解</w:t>
            </w:r>
            <w:r>
              <w:rPr>
                <w:rFonts w:hint="eastAsia" w:ascii="Times New Roman" w:hAnsi="Times New Roman"/>
                <w:b/>
                <w:sz w:val="24"/>
                <w:szCs w:val="24"/>
                <w:lang w:val="en-US" w:eastAsia="zh-CN"/>
              </w:rPr>
              <w:t>男性外生殖器的结构和功能的</w:t>
            </w:r>
            <w:r>
              <w:rPr>
                <w:rFonts w:hint="eastAsia" w:ascii="Times New Roman" w:hAnsi="Times New Roman"/>
                <w:b/>
                <w:sz w:val="24"/>
                <w:szCs w:val="24"/>
              </w:rPr>
              <w:t>基本理论知识。</w:t>
            </w:r>
          </w:p>
        </w:tc>
      </w:tr>
      <w:tr w14:paraId="317FA91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3536250D">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3001B33">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7208" w:type="dxa"/>
            <w:tcBorders>
              <w:tl2br w:val="nil"/>
              <w:tr2bl w:val="nil"/>
            </w:tcBorders>
            <w:vAlign w:val="center"/>
          </w:tcPr>
          <w:p w14:paraId="086FE61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7FFB935C">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2"/>
                <w:sz w:val="24"/>
                <w:szCs w:val="24"/>
                <w:lang w:val="en-US" w:eastAsia="zh-CN" w:bidi="ar"/>
              </w:rPr>
              <w:t>女性的外生殖器和会阴乳房</w:t>
            </w:r>
            <w:r>
              <w:rPr>
                <w:rFonts w:hint="eastAsia" w:ascii="宋体" w:hAnsi="宋体" w:cs="宋体"/>
                <w:b/>
                <w:bCs w:val="0"/>
                <w:kern w:val="0"/>
                <w:sz w:val="24"/>
                <w:szCs w:val="24"/>
                <w:lang w:val="en-US" w:eastAsia="zh-CN" w:bidi="ar"/>
              </w:rPr>
              <w:t>，掌握老年人外生殖器的结构改变要点。</w:t>
            </w:r>
          </w:p>
        </w:tc>
        <w:tc>
          <w:tcPr>
            <w:tcW w:w="1696" w:type="dxa"/>
            <w:tcBorders>
              <w:tl2br w:val="nil"/>
              <w:tr2bl w:val="nil"/>
            </w:tcBorders>
            <w:vAlign w:val="center"/>
          </w:tcPr>
          <w:p w14:paraId="70BDC00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45F3A2F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588149C">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7208" w:type="dxa"/>
            <w:tcBorders>
              <w:tl2br w:val="nil"/>
              <w:tr2bl w:val="nil"/>
            </w:tcBorders>
            <w:vAlign w:val="center"/>
          </w:tcPr>
          <w:p w14:paraId="030910E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6BB1CF4E">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2"/>
                <w:sz w:val="24"/>
                <w:szCs w:val="24"/>
                <w:lang w:val="en-US" w:eastAsia="zh-CN" w:bidi="ar"/>
              </w:rPr>
              <w:t>绘制女性生殖器官的思维导图</w:t>
            </w:r>
            <w:r>
              <w:rPr>
                <w:rFonts w:hint="eastAsia" w:ascii="宋体" w:hAnsi="宋体" w:eastAsia="宋体" w:cs="宋体"/>
                <w:b/>
                <w:bCs w:val="0"/>
                <w:kern w:val="2"/>
                <w:sz w:val="24"/>
                <w:szCs w:val="24"/>
                <w:lang w:val="en-US" w:eastAsia="zh-CN" w:bidi="ar"/>
              </w:rPr>
              <w:t>。</w:t>
            </w:r>
          </w:p>
        </w:tc>
        <w:tc>
          <w:tcPr>
            <w:tcW w:w="1696" w:type="dxa"/>
            <w:tcBorders>
              <w:tl2br w:val="nil"/>
              <w:tr2bl w:val="nil"/>
            </w:tcBorders>
            <w:vAlign w:val="center"/>
          </w:tcPr>
          <w:p w14:paraId="260A4D9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通过课后练习，使学生巩固所学新知识</w:t>
            </w:r>
          </w:p>
        </w:tc>
      </w:tr>
      <w:tr w14:paraId="4BBD9AB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5A8386C">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1D1775E0">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（40</w:t>
            </w:r>
            <w:r>
              <w:rPr>
                <w:rFonts w:hint="eastAsia" w:ascii="Times New Roman" w:hAnsi="Times New Roman"/>
                <w:sz w:val="24"/>
                <w:szCs w:val="24"/>
              </w:rPr>
              <w:t>min）</w:t>
            </w:r>
          </w:p>
        </w:tc>
        <w:tc>
          <w:tcPr>
            <w:tcW w:w="7208" w:type="dxa"/>
            <w:tcBorders>
              <w:tl2br w:val="nil"/>
              <w:tr2bl w:val="nil"/>
            </w:tcBorders>
            <w:vAlign w:val="center"/>
          </w:tcPr>
          <w:p w14:paraId="408464EA">
            <w:pPr>
              <w:keepNext w:val="0"/>
              <w:keepLines w:val="0"/>
              <w:suppressLineNumbers w:val="0"/>
              <w:spacing w:before="84" w:beforeAutospacing="0" w:after="0" w:afterAutospacing="0" w:line="343" w:lineRule="exact"/>
              <w:ind w:left="0" w:right="0"/>
              <w:outlineLvl w:val="1"/>
              <w:rPr>
                <w:rFonts w:hint="default"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cs="宋体"/>
                <w:b/>
                <w:bCs w:val="0"/>
                <w:color w:val="C00000"/>
                <w:kern w:val="2"/>
                <w:sz w:val="24"/>
                <w:szCs w:val="24"/>
                <w:lang w:val="en-US" w:eastAsia="zh-CN" w:bidi="ar"/>
              </w:rPr>
              <w:t>展示男性生殖系统生理及其衰老的变化</w:t>
            </w:r>
          </w:p>
          <w:p w14:paraId="11A5225A">
            <w:pPr>
              <w:spacing w:line="360" w:lineRule="auto"/>
              <w:ind w:firstLine="422" w:firstLineChars="200"/>
              <w:jc w:val="left"/>
              <w:rPr>
                <w:rFonts w:ascii="Times New Roman" w:hAnsi="Times New Roman" w:eastAsia="宋体" w:cs="Times New Roman"/>
                <w:b/>
                <w:bCs/>
                <w:szCs w:val="21"/>
              </w:rPr>
            </w:pPr>
            <w:r>
              <w:rPr>
                <w:rFonts w:ascii="Times New Roman" w:hAnsi="Times New Roman" w:eastAsia="宋体" w:cs="Times New Roman"/>
                <w:b/>
                <w:bCs/>
                <w:szCs w:val="21"/>
              </w:rPr>
              <w:t>一、男性生殖系统生理</w:t>
            </w:r>
          </w:p>
          <w:p w14:paraId="0723A3B0">
            <w:pPr>
              <w:spacing w:line="360" w:lineRule="auto"/>
              <w:ind w:firstLine="420" w:firstLineChars="200"/>
              <w:rPr>
                <w:rFonts w:ascii="Times New Roman" w:hAnsi="Times New Roman" w:eastAsia="宋体" w:cs="Times New Roman"/>
                <w:color w:val="1F1F1F"/>
                <w:szCs w:val="21"/>
                <w:shd w:val="clear" w:color="auto" w:fill="FFFFFF"/>
              </w:rPr>
            </w:pPr>
            <w:r>
              <w:rPr>
                <w:rFonts w:ascii="Times New Roman" w:hAnsi="Times New Roman" w:eastAsia="宋体" w:cs="Times New Roman"/>
                <w:color w:val="1F1F1F"/>
                <w:szCs w:val="21"/>
                <w:shd w:val="clear" w:color="auto" w:fill="FFFFFF"/>
              </w:rPr>
              <w:t>（一）睾丸的功能</w:t>
            </w:r>
          </w:p>
          <w:p w14:paraId="7D4B4F9E">
            <w:pPr>
              <w:spacing w:line="360" w:lineRule="auto"/>
              <w:ind w:firstLine="420" w:firstLineChars="200"/>
              <w:rPr>
                <w:rFonts w:ascii="Times New Roman" w:hAnsi="Times New Roman" w:eastAsia="宋体" w:cs="Times New Roman"/>
                <w:color w:val="1F1F1F"/>
                <w:szCs w:val="21"/>
                <w:shd w:val="clear" w:color="auto" w:fill="FFFFFF"/>
              </w:rPr>
            </w:pPr>
            <w:r>
              <w:rPr>
                <w:rFonts w:ascii="Times New Roman" w:hAnsi="Times New Roman" w:eastAsia="宋体" w:cs="Times New Roman"/>
                <w:color w:val="1F1F1F"/>
                <w:szCs w:val="21"/>
                <w:shd w:val="clear" w:color="auto" w:fill="FFFFFF"/>
              </w:rPr>
              <w:t>1.生精功能</w:t>
            </w:r>
          </w:p>
          <w:p w14:paraId="4D3A5D31">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精子在精曲小管内由生精细胞发育而成。虽然生精细胞增殖十分活跃，但对射线、酒精、吸烟等理化因素非常敏感，可导致精子畸形或功能障碍。精子生成还需要温度适宜，阴囊内温度较腹腔温度低2℃左右，适宜精子的生成。临床上将由于各种原因睾丸未降人阴囊内而滞留在腹腔或腹股沟管内的症状称为隐睾症，将影响精子的生成障碍而导致男性不育症。从青春期到老年期，睾丸都有生精能力，但在40-45岁之后，伴随着精曲小管的萎缩，生精能力将逐渐减退。</w:t>
            </w:r>
          </w:p>
          <w:p w14:paraId="5315FB8A">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精子形似蝌蚪，分头、体两部分。头的前部有顶体覆盖，内含多种水解酶，在受精过程中起重要作用；尾部细长，便于精子运动。新分化成的精子虽然外形已经成熟但不具备运动和受精功能，需借助曲细精管的收缩运送至附睾储存并继续发育，方可获得运动能力，但仍不具有受精能力。精子只有在女性生殖管道内，在子宫和输卵管分泌物的作用下，才能获得受精能力。若精子运动能力低下，称为弱精，将影响受精，造成男性不育。</w:t>
            </w:r>
          </w:p>
          <w:p w14:paraId="0D5FB5B4">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精子与附睾、精囊、前列腺和尿道球腺的分泌物混个共同组成精液，在性高潮时射出体外。正常男性每次射出的精液为3~6ml，每毫升精液中含（0.2～4）×10</w:t>
            </w:r>
            <w:r>
              <w:rPr>
                <w:rFonts w:ascii="Times New Roman" w:hAnsi="Times New Roman" w:eastAsia="宋体" w:cs="Times New Roman"/>
                <w:szCs w:val="21"/>
                <w:vertAlign w:val="superscript"/>
              </w:rPr>
              <w:t>8</w:t>
            </w:r>
            <w:r>
              <w:rPr>
                <w:rFonts w:ascii="Times New Roman" w:hAnsi="Times New Roman" w:eastAsia="宋体" w:cs="Times New Roman"/>
                <w:szCs w:val="21"/>
              </w:rPr>
              <w:t>个精子，若每毫升精液中精子数量少于2000万个，称为少精，不易使卵子受精。</w:t>
            </w:r>
          </w:p>
          <w:p w14:paraId="2BCA6254">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2.内分泌功能</w:t>
            </w:r>
          </w:p>
          <w:p w14:paraId="0E2B033D">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（1）雄激素</w:t>
            </w:r>
          </w:p>
          <w:p w14:paraId="23280305">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雄激素（androgen）主要由由睾丸间质细胞分泌，肾上腺皮质和女性的卵巢也可分泌少量雄激素。雄激素主要成分为包括睾酮（testosterone，T）、脱氢表雄酮、雄烯二酮和雄酮等几种，其中以睾酮的生物活性最强，20～50岁的健康男性每日分泌睾酮4～9mg，存在昼夜周期性波动，老年男性随年龄增长睾酮分泌逐渐减少。</w:t>
            </w:r>
          </w:p>
          <w:p w14:paraId="510891B6">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雄激素的主要生理作用包括以下几方面：</w:t>
            </w:r>
          </w:p>
          <w:p w14:paraId="50CAC41D">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①影响胚胎分化：雄激素可诱导含Y染色体的胚胎向男性转化，促进内生殖器的发育。</w:t>
            </w:r>
          </w:p>
          <w:p w14:paraId="0DD273F1">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②维持生精作用：睾酮由睾丸间质细胞分泌后，可进入支持细胞并转变为双氢睾酮，随后进入曲细精管，促进生精细胞的分化和成熟精子的形成。</w:t>
            </w:r>
          </w:p>
          <w:p w14:paraId="5DB68B23">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③刺激男性生殖器官生长发育及副性征的出现：睾酮能刺激附睾、阴茎等附性器官的生长发育。进入青春期后，促进男性第二性征的出现并维持在正常状态，如喉结突出、声调变低、胡须生长等。</w:t>
            </w:r>
            <w:r>
              <w:rPr>
                <w:rFonts w:ascii="Times New Roman" w:hAnsi="Times New Roman" w:eastAsia="宋体" w:cs="Times New Roman"/>
                <w:color w:val="1F1F1F"/>
                <w:szCs w:val="21"/>
                <w:shd w:val="clear" w:color="auto" w:fill="FFFFFF"/>
              </w:rPr>
              <w:t>随着年龄增长，睾丸逐渐萎缩，生精能力减弱，精液检查可能显示精子数量减少、活力降低、畸形率增加，激素检测会发现睾酮水平降低。</w:t>
            </w:r>
          </w:p>
          <w:p w14:paraId="3F04AC76">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④维持性欲：</w:t>
            </w:r>
            <w:r>
              <w:rPr>
                <w:rFonts w:ascii="Times New Roman" w:hAnsi="Times New Roman" w:eastAsia="宋体" w:cs="Times New Roman"/>
                <w:color w:val="1F1F1F"/>
                <w:szCs w:val="21"/>
                <w:shd w:val="clear" w:color="auto" w:fill="FFFFFF"/>
              </w:rPr>
              <w:t>随着年龄的增长，老年男性的性功能可能会逐渐减退。这主要是由于荷尔蒙水平的变化等原因引起的。性功能减退可能会导致勃起困难、射精时间缩短等问题，需要采取相应的措施进行调理。</w:t>
            </w:r>
          </w:p>
          <w:p w14:paraId="3158F02D">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⑤对代谢的影响：（1）促进蛋白质的合成，特别是肌肉和生殖器官蛋白质的合成；（2）促进骨骼的生长与钙、磷沉积；（3）直刺激骨髓造血功能；（4）参与对水、盐代谢的调节，有利于水、钠在体内保留。男性在青春期，由于睾酮与生长素的协同作用，会使身体出现一次显著的生长过程。</w:t>
            </w:r>
          </w:p>
          <w:p w14:paraId="3C02C8DD">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（2）抑制素</w:t>
            </w:r>
          </w:p>
          <w:p w14:paraId="51E089F2">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抑制素由曲细精管的支持细胞分泌，其作用是抑制腺垂体合成和分泌卵泡刺激素。</w:t>
            </w:r>
          </w:p>
          <w:p w14:paraId="0BDF765E">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（三）老年男性睾丸的生理功能变化</w:t>
            </w:r>
          </w:p>
          <w:p w14:paraId="16CCA036">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随着年龄的增长，老年人睾丸会发生一系列生理功能变化：</w:t>
            </w:r>
          </w:p>
          <w:p w14:paraId="432AE39A">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1.生精功能变化</w:t>
            </w:r>
          </w:p>
          <w:p w14:paraId="5F6A5652">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（1）精子数量减少</w:t>
            </w:r>
          </w:p>
          <w:p w14:paraId="0D7E7DA8">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从青春期开始，睾丸的生精小管就开始产生精子。年轻男性中，生精小管的生精功能旺盛。随着年龄的增加，睾丸生精小管会出现萎缩，生精干细胞的增殖能力下降，导致能够分化为成熟精子的细胞数量减少。大约从40岁左右开始，男性的精子数量以每年约1% 的速度递减。</w:t>
            </w:r>
          </w:p>
          <w:p w14:paraId="48A73ECB">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（2）精子质量下降</w:t>
            </w:r>
          </w:p>
          <w:p w14:paraId="5320C464">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老年人产生的精子在形态和活力方面也会出现问题。正常情况下，成熟精子应该具有完整的头部和摆动灵活的尾部。但在老年男性中，精子头部的畸形率可能会增加，比如出现小头、双头、大头等异常形态。同时，精子的活力也会降低，这意味着精子的运动能力变弱，难以有效地游动通过女性生殖道与卵子结合。其主要原因是支持细胞和精原细胞的功能衰退，使得精子在形成过程中得不到足够的营养和良好的微环境支持。</w:t>
            </w:r>
          </w:p>
          <w:p w14:paraId="2B1B1795">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2.内分泌功能变化</w:t>
            </w:r>
          </w:p>
          <w:p w14:paraId="49646E25">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（1）睾酮水平降低</w:t>
            </w:r>
          </w:p>
          <w:p w14:paraId="2CE25211">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睾丸的间质细胞主要负责分泌睾酮，睾酮对男性的生殖系统发育、第二性征维持以及性功能等诸多方面都有着关键作用。在老年男性中，间质细胞的数量会逐渐减少，其功能也会衰退。一般从30岁以后，男性的睾酮水平就开始缓慢下降，每年大约下降1-2%。到了70岁以上，睾酮水平可能只有年轻男性的三分之一左右。这种睾酮水平的下降会导致一系列生理变化，例如肌肉量减少、骨密度降低、脂肪分布改变等。</w:t>
            </w:r>
          </w:p>
          <w:p w14:paraId="01731ABD">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由于睾酮水平降低，老年男性可能会出现性欲减退的情况。因为睾酮对维持正常的性欲和性唤起起着重要作用。同时，它还会影响勃起功能，导致勃起硬度不够或勃起维持时间缩短。这是因为睾酮可以调节海绵体平滑肌的功能，睾酮水平下降使得海绵体充血功能受到影响。</w:t>
            </w:r>
          </w:p>
          <w:p w14:paraId="37D57FDB">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（2）其他激素变化</w:t>
            </w:r>
          </w:p>
          <w:p w14:paraId="1496BB12">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随着年龄增长，抑制素B的分泌也会减少。抑制素B主要由睾丸的支持细胞分泌，它对垂体分泌的卵泡刺激素（FSH）有负反馈调节作用。抑制素B减少会使得FSH分泌增加，这种内分泌的失衡也是睾丸生理功能衰退的一个表现。此外，老年男性体内的促性腺激素释放激素（GnRH）的分泌和调节机制也会发生改变，导致整个下丘脑-垂体-睾丸轴的功能紊乱。</w:t>
            </w:r>
          </w:p>
          <w:p w14:paraId="75935D8E">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3.免疫功能变化</w:t>
            </w:r>
          </w:p>
          <w:p w14:paraId="3178FD62">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睾丸内本身存在多种免疫调节细胞和分子，在年轻男性中，这些免疫调节机制能够有效地维持睾丸内的免疫平衡。然而，老年男性睾丸内的免疫细胞功能衰退，如调节性T细胞的活性降低。这些细胞在正常情况下可以抑制过度的免疫反应，其功能下降会导致睾丸内的免疫微环境失衡，增加炎症反应发生的概率，影响睾丸的正常生理功能。</w:t>
            </w:r>
          </w:p>
          <w:p w14:paraId="099D688E">
            <w:pPr>
              <w:spacing w:line="360" w:lineRule="auto"/>
              <w:ind w:firstLine="422" w:firstLineChars="200"/>
              <w:rPr>
                <w:rFonts w:ascii="Times New Roman" w:hAnsi="Times New Roman" w:eastAsia="宋体" w:cs="Times New Roman"/>
                <w:b/>
                <w:bCs/>
                <w:szCs w:val="21"/>
              </w:rPr>
            </w:pPr>
            <w:r>
              <w:rPr>
                <w:rFonts w:ascii="Times New Roman" w:hAnsi="Times New Roman" w:eastAsia="宋体" w:cs="Times New Roman"/>
                <w:b/>
                <w:bCs/>
                <w:szCs w:val="21"/>
              </w:rPr>
              <w:t>二、老年男性生殖系统的生理特点</w:t>
            </w:r>
          </w:p>
          <w:p w14:paraId="76C0BBCA">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1.生殖系统的变化：</w:t>
            </w:r>
          </w:p>
          <w:p w14:paraId="5AF13B07">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睾丸功能下降：随着年龄增长，睾丸逐渐萎缩，生精能力减弱，精液检查可能显示精子数量减少、活力降低、畸形率增加，激素检测会发现睾酮水平降低。</w:t>
            </w:r>
          </w:p>
          <w:p w14:paraId="7372651D">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前列腺增生：前列腺体积增大，通过超声检查可明确大小和形态，可能出现尿频、尿急、排尿困难等症状，尿流率检查会显示尿流速度减慢。</w:t>
            </w:r>
          </w:p>
          <w:p w14:paraId="069E071E">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2.性功能方面的改变：</w:t>
            </w:r>
          </w:p>
          <w:p w14:paraId="7783CDDB">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勃起功能障碍：阴茎海绵体血管内皮功能受损，导致勃起硬度和持续时间下降，相关检查，如阴茎血管多普勒超声可发现血管血流异常。</w:t>
            </w:r>
          </w:p>
          <w:p w14:paraId="167D4119">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性欲减退：激素水平的变化会影响性欲，血液中睾酮水平降低是常见原因之一，心理测试也可能显示性兴趣和性满足感降低。</w:t>
            </w:r>
          </w:p>
          <w:p w14:paraId="1A7B0632">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男性器官衰老的检查结果反映了身体多系统的变化，对于这些变化，应注重日常护理。保持健康的生活方式，如均衡饮食、适量运动、戒烟限酒等，有助于延缓器官衰老。</w:t>
            </w:r>
          </w:p>
          <w:p w14:paraId="7DC10C95">
            <w:pPr>
              <w:keepNext w:val="0"/>
              <w:keepLines w:val="0"/>
              <w:widowControl w:val="0"/>
              <w:numPr>
                <w:ilvl w:val="0"/>
                <w:numId w:val="4"/>
              </w:numPr>
              <w:suppressLineNumbers w:val="0"/>
              <w:spacing w:before="0" w:beforeAutospacing="0" w:after="0" w:afterAutospacing="0" w:line="360" w:lineRule="auto"/>
              <w:ind w:left="0" w:leftChars="0" w:right="0" w:firstLine="0" w:firstLineChars="0"/>
              <w:jc w:val="both"/>
              <w:rPr>
                <w:rFonts w:hint="default" w:ascii="Times New Roman" w:hAnsi="Times New Roman"/>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3B6333A2">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p>
          <w:p w14:paraId="2FF9D0B2">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p>
          <w:p w14:paraId="4F44E17C">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p>
          <w:p w14:paraId="33347833">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p>
          <w:p w14:paraId="04AE7CAC">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p>
          <w:p w14:paraId="14AC5DBC">
            <w:pPr>
              <w:keepNext w:val="0"/>
              <w:keepLines w:val="0"/>
              <w:suppressLineNumbers w:val="0"/>
              <w:spacing w:before="0" w:beforeAutospacing="0" w:after="0" w:afterAutospacing="0" w:line="360" w:lineRule="auto"/>
              <w:ind w:left="0" w:right="0"/>
              <w:jc w:val="left"/>
              <w:rPr>
                <w:rFonts w:hint="default" w:ascii="Times New Roman" w:hAnsi="Times New Roman" w:eastAsia="宋体"/>
                <w:b/>
                <w:sz w:val="24"/>
                <w:szCs w:val="24"/>
                <w:lang w:val="en-US" w:eastAsia="zh-CN"/>
              </w:rPr>
            </w:pPr>
            <w:r>
              <w:rPr>
                <w:rFonts w:hint="eastAsia" w:ascii="Times New Roman" w:hAnsi="Times New Roman"/>
                <w:b/>
                <w:sz w:val="24"/>
                <w:szCs w:val="24"/>
              </w:rPr>
              <w:t>通过教师讲解，了解</w:t>
            </w:r>
            <w:r>
              <w:rPr>
                <w:rFonts w:hint="eastAsia" w:ascii="Times New Roman" w:hAnsi="Times New Roman"/>
                <w:b/>
                <w:sz w:val="24"/>
                <w:szCs w:val="24"/>
                <w:lang w:val="en-US" w:eastAsia="zh-CN"/>
              </w:rPr>
              <w:t>男性生殖系统生理及衰老后的变化</w:t>
            </w:r>
          </w:p>
          <w:p w14:paraId="13114DFA">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43F848A6">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4382205C">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171664FC">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3D664440">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1139BAC0">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02AF3AFD">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697737F7">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19C420A7">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39443A78">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4CBF6CB2">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102D9B65">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7711A67A">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3F7F8940">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5BD6DFDD">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1AF111A3">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064AD8D4">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326F52CB">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7CBF41C1">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lang w:val="en-US" w:eastAsia="zh-CN"/>
              </w:rPr>
            </w:pPr>
          </w:p>
        </w:tc>
      </w:tr>
      <w:tr w14:paraId="1EA08D9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2613CA0B">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E0E49F7">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7208" w:type="dxa"/>
            <w:tcBorders>
              <w:tl2br w:val="nil"/>
              <w:tr2bl w:val="nil"/>
            </w:tcBorders>
            <w:vAlign w:val="center"/>
          </w:tcPr>
          <w:p w14:paraId="09BD87D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68772C4D">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男性生殖系统生理及衰老的变化，对于老年男性生殖系统的生理变化有了更深的了解。</w:t>
            </w:r>
          </w:p>
        </w:tc>
        <w:tc>
          <w:tcPr>
            <w:tcW w:w="1696" w:type="dxa"/>
            <w:tcBorders>
              <w:tl2br w:val="nil"/>
              <w:tr2bl w:val="nil"/>
            </w:tcBorders>
            <w:vAlign w:val="center"/>
          </w:tcPr>
          <w:p w14:paraId="53458E7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35DDBCE3">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036C3081">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7208" w:type="dxa"/>
            <w:tcBorders>
              <w:tl2br w:val="nil"/>
              <w:tr2bl w:val="nil"/>
            </w:tcBorders>
            <w:vAlign w:val="center"/>
          </w:tcPr>
          <w:p w14:paraId="1B434C8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2A5BE40F">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default" w:ascii="Calibri" w:hAnsi="宋体" w:eastAsia="宋体" w:cs="Times New Roman"/>
                <w:bCs/>
                <w:kern w:val="2"/>
                <w:sz w:val="24"/>
                <w:szCs w:val="24"/>
                <w:lang w:val="en-US" w:eastAsia="zh-CN" w:bidi="ar-SA"/>
              </w:rPr>
            </w:pPr>
            <w:r>
              <w:rPr>
                <w:rFonts w:hint="eastAsia" w:ascii="宋体" w:hAnsi="宋体" w:cs="宋体"/>
                <w:bCs/>
                <w:kern w:val="2"/>
                <w:sz w:val="24"/>
                <w:szCs w:val="24"/>
                <w:lang w:val="en-US" w:eastAsia="zh-CN" w:bidi="ar"/>
              </w:rPr>
              <w:t>简述睾丸的功能。</w:t>
            </w:r>
          </w:p>
        </w:tc>
        <w:tc>
          <w:tcPr>
            <w:tcW w:w="1696" w:type="dxa"/>
            <w:tcBorders>
              <w:tl2br w:val="nil"/>
              <w:tr2bl w:val="nil"/>
            </w:tcBorders>
            <w:vAlign w:val="center"/>
          </w:tcPr>
          <w:p w14:paraId="57ABA361">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val="0"/>
                <w:bCs/>
                <w:kern w:val="2"/>
                <w:sz w:val="24"/>
                <w:szCs w:val="24"/>
                <w:lang w:val="en-US" w:eastAsia="zh-CN" w:bidi="ar"/>
              </w:rPr>
              <w:t>通过课后练习，使学生巩固所学新知识</w:t>
            </w:r>
          </w:p>
        </w:tc>
      </w:tr>
      <w:tr w14:paraId="7F99EF99">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7319B30E">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C510027">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（40</w:t>
            </w:r>
            <w:r>
              <w:rPr>
                <w:rFonts w:hint="eastAsia" w:ascii="Times New Roman" w:hAnsi="Times New Roman"/>
                <w:sz w:val="24"/>
                <w:szCs w:val="24"/>
              </w:rPr>
              <w:t>min）</w:t>
            </w:r>
          </w:p>
        </w:tc>
        <w:tc>
          <w:tcPr>
            <w:tcW w:w="7208" w:type="dxa"/>
            <w:tcBorders>
              <w:tl2br w:val="nil"/>
              <w:tr2bl w:val="nil"/>
            </w:tcBorders>
            <w:vAlign w:val="center"/>
          </w:tcPr>
          <w:p w14:paraId="39A88DAA">
            <w:pPr>
              <w:keepNext w:val="0"/>
              <w:keepLines w:val="0"/>
              <w:suppressLineNumbers w:val="0"/>
              <w:spacing w:before="84" w:beforeAutospacing="0" w:after="0" w:afterAutospacing="0" w:line="343" w:lineRule="exact"/>
              <w:ind w:left="0" w:right="0"/>
              <w:outlineLvl w:val="1"/>
              <w:rPr>
                <w:rFonts w:hint="default"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cs="宋体"/>
                <w:b/>
                <w:bCs w:val="0"/>
                <w:color w:val="C00000"/>
                <w:kern w:val="2"/>
                <w:sz w:val="24"/>
                <w:szCs w:val="24"/>
                <w:lang w:val="en-US" w:eastAsia="zh-CN" w:bidi="ar"/>
              </w:rPr>
              <w:t>展示女性生殖系统生理及其衰老的变化</w:t>
            </w:r>
          </w:p>
          <w:p w14:paraId="036D9AD4">
            <w:pPr>
              <w:spacing w:line="360" w:lineRule="auto"/>
              <w:rPr>
                <w:rFonts w:ascii="Times New Roman" w:hAnsi="Times New Roman" w:eastAsia="宋体" w:cs="Times New Roman"/>
                <w:b/>
                <w:bCs/>
                <w:szCs w:val="21"/>
              </w:rPr>
            </w:pPr>
            <w:r>
              <w:rPr>
                <w:rFonts w:hint="eastAsia" w:ascii="Times New Roman" w:hAnsi="Times New Roman" w:eastAsia="宋体" w:cs="Times New Roman"/>
                <w:b/>
                <w:bCs/>
                <w:szCs w:val="21"/>
                <w:lang w:val="en-US" w:eastAsia="zh-CN"/>
              </w:rPr>
              <w:t>一、</w:t>
            </w:r>
            <w:r>
              <w:rPr>
                <w:rFonts w:ascii="Times New Roman" w:hAnsi="Times New Roman" w:eastAsia="宋体" w:cs="Times New Roman"/>
                <w:b/>
                <w:bCs/>
                <w:szCs w:val="21"/>
              </w:rPr>
              <w:t>女性生殖系统生理</w:t>
            </w:r>
          </w:p>
          <w:p w14:paraId="1ED97309">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女性生殖的主性器官是卵巢，附性器官包括输卵管、子宫、阴道及外阴等。卵巢内存在许多不同发育阶段的卵泡。卵泡由卵母细胞和卵泡细胞所构成。卵母细胞是女性的生殖细胞，最终发育为卵子。卵泡细胞具有内分泌功能。下丘脑一腺垂体系统可调节卵巢的活动，使之发生周期性变化，称为卵巢周期。而卵巢分泌的激素，可使女性子宫内膜发生周期性变化产生月经周期，也可对下丘脑一腺垂体激素的分泌进行反馈性调节。</w:t>
            </w:r>
          </w:p>
          <w:p w14:paraId="171EE6B4">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（一）卵巢的内分泌功能</w:t>
            </w:r>
          </w:p>
          <w:p w14:paraId="17855758">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卵巢主要分泌雌激素和孕激素。还分泌抑制素、少量的雄激素及多种肽类激素。</w:t>
            </w:r>
          </w:p>
          <w:p w14:paraId="7174772C">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（1）雌激素的生理作用</w:t>
            </w:r>
          </w:p>
          <w:p w14:paraId="1C0CD9A2">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人类的雌激素包括雌二醇、雌酮和雌三醇，其中以雌二醇活性最强。卵泡的颗粒细胞和内膜细胞共同参与雌激素的合成。女性妊娠期，胎盘参与分泌雌激素。雌激素的生理作用主要有以下几个方面。</w:t>
            </w:r>
          </w:p>
          <w:p w14:paraId="3405DF10">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①促进女性生殖器官的发育：①雌激素与FSH共同促进卵泡发育，促进排卵，是卵泡发育、成熟、排卵不可缺少的调节因素；②促进子宫发育，使子宫内膜发生增生期变化，促进子宫平滑肌的增生，刺激子宫颈分泌大量清亮而稀薄的黏液，有利于精子的穿透；③促进及输卵管运动，有利于精子与卵子的运行；④刺激阴道黏膜上皮细胞增生、角化并合成大量糖原，其分泌物使阴道呈酸性使而增强阴道的抗菌能力。</w:t>
            </w:r>
          </w:p>
          <w:p w14:paraId="604B4007">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②促进女性第二性征：雌激素可促进乳房的发育，刺激乳腺导管和结缔组织的增生，产生乳晕；也可促使脂肪沉积于乳房、臀部等部位，骨盆横径发育大于前后径。毛发呈女性分布特征。音调较高，促进女性第二性征的出现及产生性欲。</w:t>
            </w:r>
          </w:p>
          <w:p w14:paraId="41E436DE">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③对代谢的影响：①促进蛋白质的合成，特别是生殖器官的细胞增殖与分化，加速蛋白质合成，促进生长发育。②降低低密度脂蛋白，增加高密度脂蛋白含量，具有一定的抗动脉粥样硬化作用。③增强成骨细胞活动和钙磷沉积，加速骨骼生长，促进骨骺愈合，因此青春期女性身高较男性增长迅速。④高浓度的雌激素可使醛固酮分泌增多，促进水和钠的重吸收进而导致水、钠潴留。</w:t>
            </w:r>
          </w:p>
          <w:p w14:paraId="53EE09C4">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（2）孕激素的生理作用</w:t>
            </w:r>
          </w:p>
          <w:p w14:paraId="6DF97832">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①对生殖器官的作用：使子宫内膜在增生期的基础上呈现分泌期改变，即进一步增生变厚，并有腺体分泌，为胚泡的着床提供适宜的生存环境。降低子宫平滑肌的兴奋性和妊娠子宫对催产素的敏感性，抑制输卵管的运动和母体对胎儿的排斥反应，有利于保胎。使宫颈分泌粘液减少、变稠，阻止精子通过，防止再次受孕。</w:t>
            </w:r>
          </w:p>
          <w:p w14:paraId="168507C2">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②对乳腺的作用：在雌激素作用的基础上，孕酮可促进乳腺腺泡进一步发育成熟，为分娩的哺乳作准备。</w:t>
            </w:r>
          </w:p>
          <w:p w14:paraId="08875F0B">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③对平滑肌的作用：使消化管和血管平滑肌紧张性降低。在妊娠期时，孕激素浓度较高，是孕妇较易发生便秘和痔疮的原因之一。</w:t>
            </w:r>
          </w:p>
          <w:p w14:paraId="4C55DA00">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④产热作用：孕激素能促进机体产热，使基础体温升高。女性的基础体温在卵泡期较低，排卵日最低，排卵后可升高0.5℃左右，并在黄体期一直维持此水平，直至下次月经来临。临床上常将基础体温的变化作为监测排卵、指导避孕的方法之一。在老年女性绝经或卵巢摘除后，基础体温的特征性变化消失。</w:t>
            </w:r>
          </w:p>
          <w:p w14:paraId="149903E6">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 xml:space="preserve">（3）雄激素 </w:t>
            </w:r>
          </w:p>
          <w:p w14:paraId="4D37567C">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女性体内仅有少量雄激素，主适量的雄激素可刺激女性阴毛与腋毛的生长。女性体内雄激素分泌过多时，可出现阴蒂肥大、多毛症、长胡子等男性化特征。</w:t>
            </w:r>
          </w:p>
          <w:p w14:paraId="4706394E">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（三）老年女性卵巢生理功能变化</w:t>
            </w:r>
          </w:p>
          <w:p w14:paraId="54D14D1C">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1.生殖功能变化</w:t>
            </w:r>
          </w:p>
          <w:p w14:paraId="7C881AF6">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（1）排卵功能减退</w:t>
            </w:r>
          </w:p>
          <w:p w14:paraId="0C7F4FDF">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在女性生育期，卵巢每个月会排出一个成熟卵子。正常育龄女性的卵巢中含有大量的原始卵泡，在激素的作用下，卵泡逐渐发育成熟并排卵。但从35岁左右开始，卵巢中的卵泡数量和质量都开始下降。到了更年期（一般在45-5.5岁），卵巢中的卵泡几乎耗尽，排卵变得不规律，最终停止排卵。例如，一位20岁的女性，卵巢每个月都有较高的排卵概率，而一位50岁的女性，可能数月甚至数年都不会排卵。</w:t>
            </w:r>
          </w:p>
          <w:p w14:paraId="0B27E546">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（2）生育能力丧失</w:t>
            </w:r>
          </w:p>
          <w:p w14:paraId="149357F1">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随着排卵功能的停止，老年女性自然受孕的能力基本丧失。这是因为没有卵子排出，就无法与精子结合形成受精卵。即使通过辅助生殖技术，如体外受精-胚胎移植（IVF），由于老年女性卵巢功能衰退，卵子质量差，成功受孕和维持妊娠的难度也大大增加。比如，40岁以上女性通过IVF怀孕的成功率明显低于30岁以下的女性，而且流产的风险也更高。</w:t>
            </w:r>
          </w:p>
          <w:p w14:paraId="73A18427">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2.内分泌功能变化</w:t>
            </w:r>
          </w:p>
          <w:p w14:paraId="1657B093">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（1）雌激素分泌减少</w:t>
            </w:r>
          </w:p>
          <w:p w14:paraId="3D1DBA2A">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卵巢主要分泌雌激素、孕激素和少量雄激素。绝经后，卵巢的卵泡不再发育，颗粒细胞和卵泡膜细胞产生雌激素的功能几乎完全丧失。绝经前，女性体内雌激素水平相对稳定，它对维持女性的第二性征（如乳房发育、女性体型等）、生殖器官的正常结构和功能（如子宫、阴道的周期性变化）等起着关键作用。绝经后，雌激素水平急剧下降，这会导致一系列生理变化。例如，阴道黏膜萎缩、变薄、干涩，容易出现性交疼痛；子宫也会萎缩变小，子宫内膜不再有周期性的增生和脱落。</w:t>
            </w:r>
          </w:p>
          <w:p w14:paraId="387BB107">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（2）孕激素分泌停止</w:t>
            </w:r>
          </w:p>
          <w:p w14:paraId="7C43363A">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孕激素主要是在排卵后由黄体分泌，它可以使子宫内膜从增殖期转变为分泌期，为受精卵着床做准备。在老年女性卵巢功能衰退后，由于排卵停止，黄体不再形成，孕激素的分泌也随之停止。这使得子宫内膜长期处于缺乏孕激素支持的状态，增加了子宫内膜增生等病变的风险。</w:t>
            </w:r>
          </w:p>
          <w:p w14:paraId="3984435C">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（3）激素失衡的影响</w:t>
            </w:r>
          </w:p>
          <w:p w14:paraId="2218F6AB">
            <w:pPr>
              <w:spacing w:line="360" w:lineRule="auto"/>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雌激素和孕激素的减少还会对其他内分泌系统产生影响。例如，雌激素对下丘脑 - 垂体轴有负反馈调节作用，雌激素水平下降会导致下丘脑和垂体分泌的促性腺激素增加。这种内分泌失衡还会引起一些神经精神症状，如潮热、盗汗、情绪波动、失眠等，影响老年女性的生活质量。</w:t>
            </w:r>
          </w:p>
          <w:p w14:paraId="32BBB438">
            <w:pPr>
              <w:spacing w:line="360" w:lineRule="auto"/>
              <w:ind w:firstLine="422" w:firstLineChars="200"/>
              <w:rPr>
                <w:rFonts w:ascii="Times New Roman" w:hAnsi="Times New Roman" w:eastAsia="宋体" w:cs="Times New Roman"/>
                <w:b/>
                <w:bCs/>
                <w:szCs w:val="21"/>
              </w:rPr>
            </w:pPr>
            <w:r>
              <w:rPr>
                <w:rFonts w:ascii="Times New Roman" w:hAnsi="Times New Roman" w:eastAsia="宋体" w:cs="Times New Roman"/>
                <w:b/>
                <w:bCs/>
                <w:szCs w:val="21"/>
              </w:rPr>
              <w:t>四、老年女性生殖系统的生理特点</w:t>
            </w:r>
          </w:p>
          <w:p w14:paraId="65FDA7BA">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1.绝经</w:t>
            </w:r>
          </w:p>
          <w:p w14:paraId="4F186D2D">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随着年龄的增长，女性会经历绝经期。这通常是一个自然的生理过程，标志着生育能力的逐渐下降。在绝经期后，女性的雌激素水平会显著降低，这可能会导致一些更年期症状，如潮热、盗汗等。</w:t>
            </w:r>
          </w:p>
          <w:p w14:paraId="772132AF">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2.生殖器官变化</w:t>
            </w:r>
          </w:p>
          <w:p w14:paraId="4FA24D86">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随着年龄的增长，女性的生殖器官也会发生一些变化。阴道可能会变得干燥，弹性减弱；子宫和卵巢的功能也会逐渐减退。这些变化可能会影响性生活的质量和受孕能力。</w:t>
            </w:r>
          </w:p>
          <w:p w14:paraId="2084E187">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3.激素水平变化</w:t>
            </w:r>
          </w:p>
          <w:p w14:paraId="24CCB556">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老年女性的荷尔蒙水平会发生显著变化，特别是雌激素的减少。这种变化可能会导致一系列的身体和心理症状，如情绪波动、焦虑、失眠等。</w:t>
            </w:r>
          </w:p>
          <w:p w14:paraId="5C556E0C">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4.性欲降低</w:t>
            </w:r>
          </w:p>
          <w:p w14:paraId="546B98FA">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由于身体机能的衰退和荷尔蒙水平的变化，老年女性的性欲可能会降低。然而，每个人的情况都是不同的，有些女性可能仍然保持较高的性欲。</w:t>
            </w:r>
          </w:p>
          <w:p w14:paraId="3ED887C3">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5.健康风险增加</w:t>
            </w:r>
          </w:p>
          <w:p w14:paraId="13DD0E9F">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随着年龄的增长，患某些妇科疾病的风险可能会增加，如子宫肌瘤、子宫颈癌等。因此，定期进行妇科检查并保持健康的生活方式对于老年女性来说尤为重要。</w:t>
            </w:r>
          </w:p>
          <w:p w14:paraId="2286A7E1">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总体来说，老年女性的生殖特点受到多种因素的影响，包括荷尔蒙水平、生殖器官状况以及整体健康状况等。了解这些特点并采取适当的保健措施，有助于维护老年女性的身体健康和生活质量。</w:t>
            </w:r>
          </w:p>
          <w:p w14:paraId="2A217DE5">
            <w:pPr>
              <w:keepNext w:val="0"/>
              <w:keepLines w:val="0"/>
              <w:widowControl w:val="0"/>
              <w:numPr>
                <w:ilvl w:val="0"/>
                <w:numId w:val="4"/>
              </w:numPr>
              <w:suppressLineNumbers w:val="0"/>
              <w:spacing w:before="0" w:beforeAutospacing="0" w:after="0" w:afterAutospacing="0" w:line="360" w:lineRule="auto"/>
              <w:ind w:left="0" w:leftChars="0" w:right="0" w:firstLine="0" w:firstLineChars="0"/>
              <w:jc w:val="both"/>
              <w:rPr>
                <w:rFonts w:hint="default" w:ascii="Times New Roman" w:hAnsi="Times New Roman"/>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696" w:type="dxa"/>
            <w:tcBorders>
              <w:tl2br w:val="nil"/>
              <w:tr2bl w:val="nil"/>
            </w:tcBorders>
            <w:vAlign w:val="center"/>
          </w:tcPr>
          <w:p w14:paraId="362AC19F">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p>
          <w:p w14:paraId="2C4F9B41">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p>
          <w:p w14:paraId="3D63C3F2">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p>
          <w:p w14:paraId="51924837">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p>
          <w:p w14:paraId="019AB625">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p>
          <w:p w14:paraId="2F940CD9">
            <w:pPr>
              <w:keepNext w:val="0"/>
              <w:keepLines w:val="0"/>
              <w:suppressLineNumbers w:val="0"/>
              <w:spacing w:before="0" w:beforeAutospacing="0" w:after="0" w:afterAutospacing="0" w:line="360" w:lineRule="auto"/>
              <w:ind w:left="0" w:right="0"/>
              <w:jc w:val="left"/>
              <w:rPr>
                <w:rFonts w:hint="default" w:ascii="Times New Roman" w:hAnsi="Times New Roman" w:eastAsia="宋体"/>
                <w:b/>
                <w:sz w:val="24"/>
                <w:szCs w:val="24"/>
                <w:lang w:val="en-US" w:eastAsia="zh-CN"/>
              </w:rPr>
            </w:pPr>
            <w:r>
              <w:rPr>
                <w:rFonts w:hint="eastAsia" w:ascii="Times New Roman" w:hAnsi="Times New Roman"/>
                <w:b/>
                <w:sz w:val="24"/>
                <w:szCs w:val="24"/>
              </w:rPr>
              <w:t>通过教师讲解，了解</w:t>
            </w:r>
            <w:r>
              <w:rPr>
                <w:rFonts w:hint="eastAsia" w:ascii="Times New Roman" w:hAnsi="Times New Roman"/>
                <w:b/>
                <w:sz w:val="24"/>
                <w:szCs w:val="24"/>
                <w:lang w:val="en-US" w:eastAsia="zh-CN"/>
              </w:rPr>
              <w:t>女性生殖系统生理及衰老后的变化</w:t>
            </w:r>
          </w:p>
          <w:p w14:paraId="0F082918">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0B8DD1D5">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39B09583">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47D7CFBF">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15DE13CC">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05B91D33">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61459AA0">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60C088D2">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217594E0">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5EB1FDE5">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1A2F13C0">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7D94EEC8">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5A38B220">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606D15C0">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7AB65AC4">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0093866B">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1C4B0789">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34A487AE">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lang w:val="en-US" w:eastAsia="zh-CN"/>
              </w:rPr>
            </w:pPr>
          </w:p>
          <w:p w14:paraId="3EE0B60B">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lang w:val="en-US" w:eastAsia="zh-CN"/>
              </w:rPr>
            </w:pPr>
          </w:p>
        </w:tc>
      </w:tr>
      <w:tr w14:paraId="2414399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1473F860">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CBD5ECE">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7208" w:type="dxa"/>
            <w:tcBorders>
              <w:tl2br w:val="nil"/>
              <w:tr2bl w:val="nil"/>
            </w:tcBorders>
            <w:vAlign w:val="center"/>
          </w:tcPr>
          <w:p w14:paraId="62757D9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29D60A34">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女性生殖系统生理及衰老的变化，对于老年女性生殖系统的生理变化有了更深的了解。</w:t>
            </w:r>
          </w:p>
        </w:tc>
        <w:tc>
          <w:tcPr>
            <w:tcW w:w="1696" w:type="dxa"/>
            <w:tcBorders>
              <w:tl2br w:val="nil"/>
              <w:tr2bl w:val="nil"/>
            </w:tcBorders>
            <w:vAlign w:val="center"/>
          </w:tcPr>
          <w:p w14:paraId="057EDA1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3A8CF69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F4EFFA"/>
            <w:vAlign w:val="center"/>
          </w:tcPr>
          <w:p w14:paraId="655838D4">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7208" w:type="dxa"/>
            <w:tcBorders>
              <w:tl2br w:val="nil"/>
              <w:tr2bl w:val="nil"/>
            </w:tcBorders>
            <w:vAlign w:val="center"/>
          </w:tcPr>
          <w:p w14:paraId="4280B38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7E2EA85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default" w:ascii="Calibri" w:hAnsi="宋体" w:eastAsia="宋体" w:cs="Times New Roman"/>
                <w:bCs/>
                <w:kern w:val="2"/>
                <w:sz w:val="24"/>
                <w:szCs w:val="24"/>
                <w:lang w:val="en-US" w:eastAsia="zh-CN" w:bidi="ar-SA"/>
              </w:rPr>
            </w:pPr>
            <w:r>
              <w:rPr>
                <w:rFonts w:hint="eastAsia" w:ascii="宋体" w:hAnsi="宋体" w:cs="宋体"/>
                <w:bCs/>
                <w:kern w:val="2"/>
                <w:sz w:val="24"/>
                <w:szCs w:val="24"/>
                <w:lang w:val="en-US" w:eastAsia="zh-CN" w:bidi="ar"/>
              </w:rPr>
              <w:t>简述老年女性生殖系统生理特点</w:t>
            </w:r>
            <w:bookmarkStart w:id="0" w:name="_GoBack"/>
            <w:bookmarkEnd w:id="0"/>
            <w:r>
              <w:rPr>
                <w:rFonts w:hint="eastAsia" w:ascii="宋体" w:hAnsi="宋体" w:cs="宋体"/>
                <w:bCs/>
                <w:kern w:val="2"/>
                <w:sz w:val="24"/>
                <w:szCs w:val="24"/>
                <w:lang w:val="en-US" w:eastAsia="zh-CN" w:bidi="ar"/>
              </w:rPr>
              <w:t>。</w:t>
            </w:r>
          </w:p>
        </w:tc>
        <w:tc>
          <w:tcPr>
            <w:tcW w:w="1696" w:type="dxa"/>
            <w:tcBorders>
              <w:tl2br w:val="nil"/>
              <w:tr2bl w:val="nil"/>
            </w:tcBorders>
            <w:vAlign w:val="center"/>
          </w:tcPr>
          <w:p w14:paraId="64A7C4CC">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val="0"/>
                <w:bCs/>
                <w:kern w:val="2"/>
                <w:sz w:val="24"/>
                <w:szCs w:val="24"/>
                <w:lang w:val="en-US" w:eastAsia="zh-CN" w:bidi="ar"/>
              </w:rPr>
              <w:t>通过课后练习，使学生巩固所学新知识</w:t>
            </w:r>
          </w:p>
        </w:tc>
      </w:tr>
    </w:tbl>
    <w:p w14:paraId="1732FCDB"/>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宋黑_GBK">
    <w:altName w:val="宋体"/>
    <w:panose1 w:val="03000509000000000000"/>
    <w:charset w:val="86"/>
    <w:family w:val="script"/>
    <w:pitch w:val="default"/>
    <w:sig w:usb0="00000000" w:usb1="0000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思源宋体 CN Heavy">
    <w:altName w:val="宋体"/>
    <w:panose1 w:val="02020900000000000000"/>
    <w:charset w:val="86"/>
    <w:family w:val="auto"/>
    <w:pitch w:val="default"/>
    <w:sig w:usb0="00000000" w:usb1="00000000" w:usb2="00000016" w:usb3="00000000" w:csb0="60060107" w:csb1="00000000"/>
  </w:font>
  <w:font w:name="微软简老宋">
    <w:altName w:val="宋体"/>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076A5F">
    <w:pPr>
      <w:pStyle w:val="10"/>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59264" behindDoc="1" locked="0" layoutInCell="1" allowOverlap="1">
          <wp:simplePos x="0" y="0"/>
          <wp:positionH relativeFrom="column">
            <wp:posOffset>-123190</wp:posOffset>
          </wp:positionH>
          <wp:positionV relativeFrom="paragraph">
            <wp:posOffset>-377190</wp:posOffset>
          </wp:positionV>
          <wp:extent cx="7583170" cy="10723880"/>
          <wp:effectExtent l="0" t="0" r="17780" b="1270"/>
          <wp:wrapNone/>
          <wp:docPr id="2" name="图片 2"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2"/>
                  <pic:cNvPicPr>
                    <a:picLocks noChangeAspect="1"/>
                  </pic:cNvPicPr>
                </pic:nvPicPr>
                <pic:blipFill>
                  <a:blip r:embed="rId1"/>
                  <a:stretch>
                    <a:fillRect/>
                  </a:stretch>
                </pic:blipFill>
                <pic:spPr>
                  <a:xfrm>
                    <a:off x="0" y="0"/>
                    <a:ext cx="7583170" cy="10723880"/>
                  </a:xfrm>
                  <a:prstGeom prst="rect">
                    <a:avLst/>
                  </a:prstGeom>
                </pic:spPr>
              </pic:pic>
            </a:graphicData>
          </a:graphic>
        </wp:anchor>
      </w:drawing>
    </w:r>
    <w:r>
      <w:rPr>
        <w:sz w:val="18"/>
      </w:rPr>
      <mc:AlternateContent>
        <mc:Choice Requires="wps">
          <w:drawing>
            <wp:anchor distT="0" distB="0" distL="114300" distR="114300" simplePos="0" relativeHeight="251660288" behindDoc="1"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97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56192;v-text-anchor:middle;mso-width-relative:page;mso-height-relative:page;" fillcolor="#FFFFFF [3212]" filled="t" stroked="t" coordsize="21600,21600" o:gfxdata="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Hy+&#10;RFnZAAAACQEAAA8AAAAAAAAAAQAgAAAAIgAAAGRycy9kb3ducmV2LnhtbFBLAQIUABQAAAAIAIdO&#10;4kBDdoqWlAIAAEIFAAAOAAAAAAAAAAEAIAAAACgBAABkcnMvZTJvRG9jLnhtbFBLBQYAAAAABgAG&#10;AFkBAAAuBgAAAAA=&#10;">
              <v:fill on="t" opacity="63569f" focussize="0,0"/>
              <v:stroke weight="1pt" color="#F2F2F2 [3052]" miterlimit="8" joinstyle="miter"/>
              <v:imagedata o:title=""/>
              <o:lock v:ext="edit" aspectratio="f"/>
            </v:rect>
          </w:pict>
        </mc:Fallback>
      </mc:AlternateContent>
    </w:r>
  </w:p>
  <w:p w14:paraId="483AAAEC">
    <w:pPr>
      <w:pStyle w:val="10"/>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285E13">
    <w:pPr>
      <w:pStyle w:val="10"/>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-134620</wp:posOffset>
          </wp:positionH>
          <wp:positionV relativeFrom="paragraph">
            <wp:posOffset>-360045</wp:posOffset>
          </wp:positionV>
          <wp:extent cx="7632065" cy="10692130"/>
          <wp:effectExtent l="0" t="0" r="6985" b="13970"/>
          <wp:wrapNone/>
          <wp:docPr id="1" name="图片 1" descr="图片2"/>
          <wp:cNvGraphicFramePr/>
          <a:graphic xmlns:a="http://schemas.openxmlformats.org/drawingml/2006/main">
            <a:graphicData uri="http://schemas.openxmlformats.org/drawingml/2006/picture">
              <pic:pic xmlns:pic="http://schemas.openxmlformats.org/drawingml/2006/picture">
                <pic:nvPicPr>
                  <pic:cNvPr id="1" name="图片 1" descr="图片2"/>
                  <pic:cNvPicPr/>
                </pic:nvPicPr>
                <pic:blipFill>
                  <a:blip r:embed="rId1"/>
                  <a:stretch>
                    <a:fillRect/>
                  </a:stretch>
                </pic:blipFill>
                <pic:spPr>
                  <a:xfrm>
                    <a:off x="0" y="0"/>
                    <a:ext cx="7632065" cy="1069213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C89793A"/>
    <w:multiLevelType w:val="singleLevel"/>
    <w:tmpl w:val="2C89793A"/>
    <w:lvl w:ilvl="0" w:tentative="0">
      <w:start w:val="1"/>
      <w:numFmt w:val="chineseCounting"/>
      <w:suff w:val="nothing"/>
      <w:lvlText w:val="（%1）"/>
      <w:lvlJc w:val="left"/>
      <w:pPr>
        <w:ind w:left="420"/>
      </w:pPr>
      <w:rPr>
        <w:rFonts w:hint="eastAsia"/>
      </w:rPr>
    </w:lvl>
  </w:abstractNum>
  <w:abstractNum w:abstractNumId="1">
    <w:nsid w:val="40A98D76"/>
    <w:multiLevelType w:val="singleLevel"/>
    <w:tmpl w:val="40A98D76"/>
    <w:lvl w:ilvl="0" w:tentative="0">
      <w:start w:val="1"/>
      <w:numFmt w:val="chineseCounting"/>
      <w:suff w:val="nothing"/>
      <w:lvlText w:val="%1、"/>
      <w:lvlJc w:val="left"/>
      <w:rPr>
        <w:rFonts w:hint="eastAsia"/>
      </w:rPr>
    </w:lvl>
  </w:abstractNum>
  <w:abstractNum w:abstractNumId="2">
    <w:nsid w:val="593639E4"/>
    <w:multiLevelType w:val="singleLevel"/>
    <w:tmpl w:val="593639E4"/>
    <w:lvl w:ilvl="0" w:tentative="0">
      <w:start w:val="3"/>
      <w:numFmt w:val="decimal"/>
      <w:suff w:val="nothing"/>
      <w:lvlText w:val="（%1）"/>
      <w:lvlJc w:val="left"/>
    </w:lvl>
  </w:abstractNum>
  <w:abstractNum w:abstractNumId="3">
    <w:nsid w:val="7890CC79"/>
    <w:multiLevelType w:val="singleLevel"/>
    <w:tmpl w:val="7890CC79"/>
    <w:lvl w:ilvl="0" w:tentative="0">
      <w:start w:val="1"/>
      <w:numFmt w:val="decimal"/>
      <w:suff w:val="space"/>
      <w:lvlText w:val="%1."/>
      <w:lvlJc w:val="left"/>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E3Y2I3OTRlNTA1NjUwZGY1NGI3NTM4NWZhMGI4N2I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8FE2529"/>
    <w:rsid w:val="0AC91BFE"/>
    <w:rsid w:val="0D6C2CF1"/>
    <w:rsid w:val="0E3C75E8"/>
    <w:rsid w:val="1362026A"/>
    <w:rsid w:val="13E367E0"/>
    <w:rsid w:val="1FB84519"/>
    <w:rsid w:val="20F13C9B"/>
    <w:rsid w:val="21ED3737"/>
    <w:rsid w:val="238347DF"/>
    <w:rsid w:val="24B477DD"/>
    <w:rsid w:val="24F43EA6"/>
    <w:rsid w:val="27282B77"/>
    <w:rsid w:val="278141AB"/>
    <w:rsid w:val="28B578A7"/>
    <w:rsid w:val="2FBD002D"/>
    <w:rsid w:val="322A12C5"/>
    <w:rsid w:val="34AD60CD"/>
    <w:rsid w:val="34B67F89"/>
    <w:rsid w:val="368D542E"/>
    <w:rsid w:val="388B134B"/>
    <w:rsid w:val="391A0D07"/>
    <w:rsid w:val="3E886713"/>
    <w:rsid w:val="436C72A2"/>
    <w:rsid w:val="43CD7F64"/>
    <w:rsid w:val="44B33A23"/>
    <w:rsid w:val="45C91BBA"/>
    <w:rsid w:val="49F8701E"/>
    <w:rsid w:val="4AC0567C"/>
    <w:rsid w:val="4C7F0E23"/>
    <w:rsid w:val="4FFC0517"/>
    <w:rsid w:val="52D7511B"/>
    <w:rsid w:val="5A7C6694"/>
    <w:rsid w:val="600E33E1"/>
    <w:rsid w:val="622A303A"/>
    <w:rsid w:val="69236EB5"/>
    <w:rsid w:val="6B384CE6"/>
    <w:rsid w:val="723010AC"/>
    <w:rsid w:val="7AA634A2"/>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1"/>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4"/>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6"/>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7"/>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3">
    <w:name w:val="Default Paragraph Font"/>
    <w:semiHidden/>
    <w:unhideWhenUsed/>
    <w:qFormat/>
    <w:uiPriority w:val="1"/>
  </w:style>
  <w:style w:type="table" w:default="1" w:styleId="11">
    <w:name w:val="Normal Table"/>
    <w:autoRedefin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9"/>
    <w:autoRedefine/>
    <w:unhideWhenUsed/>
    <w:qFormat/>
    <w:uiPriority w:val="0"/>
    <w:rPr>
      <w:rFonts w:eastAsia="黑体" w:asciiTheme="majorHAnsi" w:hAnsiTheme="majorHAnsi" w:cstheme="majorBidi"/>
      <w:sz w:val="20"/>
      <w:szCs w:val="20"/>
    </w:rPr>
  </w:style>
  <w:style w:type="paragraph" w:styleId="8">
    <w:name w:val="Body Text"/>
    <w:basedOn w:val="1"/>
    <w:semiHidden/>
    <w:qFormat/>
    <w:uiPriority w:val="0"/>
    <w:rPr>
      <w:rFonts w:ascii="宋体" w:hAnsi="宋体" w:eastAsia="宋体" w:cs="宋体"/>
      <w:sz w:val="22"/>
      <w:szCs w:val="22"/>
      <w:lang w:val="en-US" w:eastAsia="en-US" w:bidi="ar-SA"/>
    </w:rPr>
  </w:style>
  <w:style w:type="paragraph" w:styleId="9">
    <w:name w:val="footer"/>
    <w:basedOn w:val="1"/>
    <w:link w:val="20"/>
    <w:unhideWhenUsed/>
    <w:qFormat/>
    <w:uiPriority w:val="99"/>
    <w:pPr>
      <w:tabs>
        <w:tab w:val="center" w:pos="4153"/>
        <w:tab w:val="right" w:pos="8306"/>
      </w:tabs>
      <w:snapToGrid w:val="0"/>
      <w:jc w:val="left"/>
    </w:pPr>
    <w:rPr>
      <w:sz w:val="18"/>
      <w:szCs w:val="18"/>
    </w:rPr>
  </w:style>
  <w:style w:type="paragraph" w:styleId="10">
    <w:name w:val="header"/>
    <w:basedOn w:val="1"/>
    <w:link w:val="19"/>
    <w:unhideWhenUsed/>
    <w:qFormat/>
    <w:uiPriority w:val="99"/>
    <w:pPr>
      <w:pBdr>
        <w:bottom w:val="single" w:color="auto" w:sz="6" w:space="1"/>
      </w:pBdr>
      <w:tabs>
        <w:tab w:val="center" w:pos="4153"/>
        <w:tab w:val="right" w:pos="8306"/>
      </w:tabs>
      <w:snapToGrid w:val="0"/>
      <w:jc w:val="center"/>
    </w:pPr>
    <w:rPr>
      <w:sz w:val="18"/>
      <w:szCs w:val="18"/>
    </w:rPr>
  </w:style>
  <w:style w:type="table" w:styleId="12">
    <w:name w:val="Table Grid"/>
    <w:basedOn w:val="11"/>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4">
    <w:name w:val="Heading #2|1"/>
    <w:basedOn w:val="1"/>
    <w:autoRedefine/>
    <w:qFormat/>
    <w:uiPriority w:val="0"/>
    <w:pPr>
      <w:spacing w:after="640"/>
      <w:jc w:val="center"/>
      <w:outlineLvl w:val="1"/>
    </w:pPr>
    <w:rPr>
      <w:rFonts w:ascii="宋体" w:hAnsi="宋体" w:cs="宋体"/>
      <w:color w:val="EC008D"/>
      <w:sz w:val="30"/>
      <w:szCs w:val="30"/>
      <w:lang w:val="zh-TW" w:eastAsia="zh-TW" w:bidi="zh-TW"/>
    </w:rPr>
  </w:style>
  <w:style w:type="paragraph" w:customStyle="1" w:styleId="15">
    <w:name w:val="Heading #3|1"/>
    <w:basedOn w:val="1"/>
    <w:link w:val="16"/>
    <w:qFormat/>
    <w:uiPriority w:val="0"/>
    <w:pPr>
      <w:spacing w:after="160"/>
      <w:outlineLvl w:val="2"/>
    </w:pPr>
    <w:rPr>
      <w:rFonts w:ascii="宋体" w:hAnsi="宋体" w:cs="宋体"/>
      <w:color w:val="EC008D"/>
      <w:sz w:val="20"/>
      <w:szCs w:val="20"/>
      <w:lang w:val="zh-TW" w:eastAsia="zh-TW" w:bidi="zh-TW"/>
    </w:rPr>
  </w:style>
  <w:style w:type="character" w:customStyle="1" w:styleId="16">
    <w:name w:val="Heading #3|1 Char"/>
    <w:link w:val="15"/>
    <w:qFormat/>
    <w:uiPriority w:val="0"/>
    <w:rPr>
      <w:rFonts w:ascii="宋体" w:hAnsi="宋体" w:eastAsia="宋体" w:cs="宋体"/>
      <w:color w:val="EC008D"/>
      <w:sz w:val="20"/>
      <w:szCs w:val="20"/>
      <w:lang w:val="zh-TW" w:eastAsia="zh-TW" w:bidi="zh-TW"/>
    </w:rPr>
  </w:style>
  <w:style w:type="paragraph" w:customStyle="1" w:styleId="17">
    <w:name w:val="Body text|1"/>
    <w:basedOn w:val="1"/>
    <w:link w:val="18"/>
    <w:unhideWhenUsed/>
    <w:qFormat/>
    <w:uiPriority w:val="0"/>
    <w:pPr>
      <w:spacing w:line="360" w:lineRule="auto"/>
      <w:ind w:firstLine="400"/>
    </w:pPr>
    <w:rPr>
      <w:rFonts w:ascii="宋体" w:hAnsi="宋体" w:cs="宋体"/>
      <w:sz w:val="20"/>
      <w:szCs w:val="20"/>
      <w:lang w:val="zh-TW" w:eastAsia="zh-TW" w:bidi="zh-TW"/>
    </w:rPr>
  </w:style>
  <w:style w:type="character" w:customStyle="1" w:styleId="18">
    <w:name w:val="Body text|1 Char"/>
    <w:link w:val="17"/>
    <w:qFormat/>
    <w:uiPriority w:val="0"/>
    <w:rPr>
      <w:rFonts w:ascii="宋体" w:hAnsi="宋体" w:eastAsia="宋体" w:cs="宋体"/>
      <w:sz w:val="20"/>
      <w:szCs w:val="20"/>
      <w:lang w:val="zh-TW" w:eastAsia="zh-TW" w:bidi="zh-TW"/>
    </w:rPr>
  </w:style>
  <w:style w:type="character" w:customStyle="1" w:styleId="19">
    <w:name w:val="页眉 Char"/>
    <w:basedOn w:val="13"/>
    <w:link w:val="10"/>
    <w:qFormat/>
    <w:uiPriority w:val="99"/>
    <w:rPr>
      <w:rFonts w:ascii="Calibri" w:hAnsi="Calibri" w:eastAsia="宋体" w:cs="Times New Roman"/>
      <w:sz w:val="18"/>
      <w:szCs w:val="18"/>
    </w:rPr>
  </w:style>
  <w:style w:type="character" w:customStyle="1" w:styleId="20">
    <w:name w:val="页脚 Char"/>
    <w:basedOn w:val="13"/>
    <w:link w:val="9"/>
    <w:autoRedefine/>
    <w:qFormat/>
    <w:uiPriority w:val="99"/>
    <w:rPr>
      <w:rFonts w:ascii="Calibri" w:hAnsi="Calibri" w:eastAsia="宋体" w:cs="Times New Roman"/>
      <w:sz w:val="18"/>
      <w:szCs w:val="18"/>
    </w:rPr>
  </w:style>
  <w:style w:type="paragraph" w:styleId="21">
    <w:name w:val="List Paragraph"/>
    <w:basedOn w:val="1"/>
    <w:qFormat/>
    <w:uiPriority w:val="34"/>
    <w:pPr>
      <w:ind w:firstLine="420" w:firstLineChars="200"/>
    </w:pPr>
  </w:style>
  <w:style w:type="paragraph" w:customStyle="1" w:styleId="22">
    <w:name w:val="知识拓展内容"/>
    <w:basedOn w:val="1"/>
    <w:link w:val="23"/>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3">
    <w:name w:val="知识拓展内容 Char"/>
    <w:link w:val="22"/>
    <w:qFormat/>
    <w:uiPriority w:val="0"/>
    <w:rPr>
      <w:rFonts w:ascii="Times New Roman" w:hAnsi="Times New Roman" w:eastAsia="仿宋_GB2312" w:cs="Times New Roman"/>
      <w:kern w:val="10"/>
      <w:szCs w:val="21"/>
      <w:shd w:val="clear" w:color="auto" w:fill="FADCE9"/>
      <w:lang w:val="zh-CN" w:eastAsia="zh-CN"/>
    </w:rPr>
  </w:style>
  <w:style w:type="character" w:customStyle="1" w:styleId="24">
    <w:name w:val="标题 4 Char"/>
    <w:basedOn w:val="13"/>
    <w:link w:val="4"/>
    <w:qFormat/>
    <w:uiPriority w:val="0"/>
    <w:rPr>
      <w:rFonts w:ascii="Times New Roman" w:hAnsi="Times New Roman" w:eastAsia="方正宋黑_GBK" w:cs="Times New Roman"/>
      <w:color w:val="E4007F"/>
      <w:sz w:val="26"/>
      <w:szCs w:val="20"/>
    </w:rPr>
  </w:style>
  <w:style w:type="character" w:customStyle="1" w:styleId="25">
    <w:name w:val="字符样式 拼音字体"/>
    <w:qFormat/>
    <w:uiPriority w:val="0"/>
    <w:rPr>
      <w:rFonts w:ascii="PinYinok" w:hAnsi="PinYinok"/>
      <w:sz w:val="24"/>
      <w:szCs w:val="24"/>
    </w:rPr>
  </w:style>
  <w:style w:type="character" w:customStyle="1" w:styleId="26">
    <w:name w:val="标题 5 Char"/>
    <w:basedOn w:val="13"/>
    <w:link w:val="5"/>
    <w:semiHidden/>
    <w:qFormat/>
    <w:uiPriority w:val="9"/>
    <w:rPr>
      <w:rFonts w:ascii="Calibri" w:hAnsi="Calibri" w:eastAsia="宋体" w:cs="Times New Roman"/>
      <w:b/>
      <w:bCs/>
      <w:sz w:val="28"/>
      <w:szCs w:val="28"/>
    </w:rPr>
  </w:style>
  <w:style w:type="character" w:customStyle="1" w:styleId="27">
    <w:name w:val="标题 6 Char"/>
    <w:basedOn w:val="13"/>
    <w:link w:val="6"/>
    <w:semiHidden/>
    <w:qFormat/>
    <w:uiPriority w:val="9"/>
    <w:rPr>
      <w:rFonts w:asciiTheme="majorHAnsi" w:hAnsiTheme="majorHAnsi" w:eastAsiaTheme="majorEastAsia" w:cstheme="majorBidi"/>
      <w:b/>
      <w:bCs/>
      <w:sz w:val="24"/>
      <w:szCs w:val="24"/>
    </w:rPr>
  </w:style>
  <w:style w:type="paragraph" w:customStyle="1" w:styleId="28">
    <w:name w:val="图片"/>
    <w:basedOn w:val="1"/>
    <w:next w:val="7"/>
    <w:link w:val="30"/>
    <w:qFormat/>
    <w:uiPriority w:val="0"/>
    <w:pPr>
      <w:spacing w:before="120"/>
      <w:jc w:val="center"/>
    </w:pPr>
    <w:rPr>
      <w:rFonts w:ascii="Times New Roman" w:hAnsi="Times New Roman"/>
      <w:szCs w:val="20"/>
    </w:rPr>
  </w:style>
  <w:style w:type="character" w:customStyle="1" w:styleId="29">
    <w:name w:val="题注 Char"/>
    <w:link w:val="7"/>
    <w:qFormat/>
    <w:locked/>
    <w:uiPriority w:val="0"/>
    <w:rPr>
      <w:rFonts w:eastAsia="黑体" w:asciiTheme="majorHAnsi" w:hAnsiTheme="majorHAnsi" w:cstheme="majorBidi"/>
      <w:sz w:val="20"/>
      <w:szCs w:val="20"/>
    </w:rPr>
  </w:style>
  <w:style w:type="character" w:customStyle="1" w:styleId="30">
    <w:name w:val="图片 Char"/>
    <w:link w:val="28"/>
    <w:qFormat/>
    <w:locked/>
    <w:uiPriority w:val="0"/>
    <w:rPr>
      <w:rFonts w:ascii="Times New Roman" w:hAnsi="Times New Roman" w:eastAsia="宋体" w:cs="Times New Roman"/>
      <w:szCs w:val="20"/>
    </w:rPr>
  </w:style>
  <w:style w:type="character" w:customStyle="1" w:styleId="31">
    <w:name w:val="标题 3 Char"/>
    <w:basedOn w:val="13"/>
    <w:link w:val="3"/>
    <w:semiHidden/>
    <w:qFormat/>
    <w:uiPriority w:val="9"/>
    <w:rPr>
      <w:rFonts w:ascii="Calibri" w:hAnsi="Calibri" w:eastAsia="宋体" w:cs="Times New Roman"/>
      <w:b/>
      <w:bCs/>
      <w:sz w:val="32"/>
      <w:szCs w:val="32"/>
    </w:rPr>
  </w:style>
  <w:style w:type="table" w:customStyle="1" w:styleId="32">
    <w:name w:val="Table Normal"/>
    <w:semiHidden/>
    <w:unhideWhenUsed/>
    <w:qFormat/>
    <w:uiPriority w:val="0"/>
    <w:tblPr>
      <w:tblCellMar>
        <w:top w:w="0" w:type="dxa"/>
        <w:left w:w="0" w:type="dxa"/>
        <w:bottom w:w="0" w:type="dxa"/>
        <w:right w:w="0" w:type="dxa"/>
      </w:tblCellMar>
    </w:tblPr>
  </w:style>
  <w:style w:type="paragraph" w:customStyle="1" w:styleId="33">
    <w:name w:val="Table Text"/>
    <w:basedOn w:val="1"/>
    <w:semiHidden/>
    <w:qFormat/>
    <w:uiPriority w:val="0"/>
    <w:rPr>
      <w:rFonts w:ascii="仿宋" w:hAnsi="仿宋" w:eastAsia="仿宋" w:cs="仿宋"/>
      <w:sz w:val="18"/>
      <w:szCs w:val="18"/>
      <w:lang w:val="en-US" w:eastAsia="en-US" w:bidi="ar-SA"/>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17</Pages>
  <Words>10086</Words>
  <Characters>10329</Characters>
  <Lines>1</Lines>
  <Paragraphs>1</Paragraphs>
  <TotalTime>0</TotalTime>
  <ScaleCrop>false</ScaleCrop>
  <LinksUpToDate>false</LinksUpToDate>
  <CharactersWithSpaces>10542</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崔珂萌</cp:lastModifiedBy>
  <dcterms:modified xsi:type="dcterms:W3CDTF">2025-09-10T07:01:34Z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699B8F456A884152B147441EBAF504BD_13</vt:lpwstr>
  </property>
  <property fmtid="{D5CDD505-2E9C-101B-9397-08002B2CF9AE}" pid="4" name="KSOTemplateDocerSaveRecord">
    <vt:lpwstr>eyJoZGlkIjoiNjg3Yzc1Y2RkYTg4OTFlNjVmNmE5YmNhMWNlMzFhNGMiLCJ1c2VySWQiOiIxOTkwMjUyNjMifQ==</vt:lpwstr>
  </property>
</Properties>
</file>